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the-question-after-the-answer"/>
    <w:p>
      <w:pPr>
        <w:pStyle w:val="Heading1"/>
      </w:pPr>
      <w:r>
        <w:t xml:space="preserve">THE QUESTION AFTER THE ANSWER</w:t>
      </w:r>
    </w:p>
    <w:p>
      <w:pPr>
        <w:pStyle w:val="FirstParagraph"/>
      </w:pPr>
      <w:r>
        <w:rPr>
          <w:b/>
          <w:bCs/>
        </w:rPr>
        <w:t xml:space="preserve">Independent Human Inquiry, Simulated Perspectives, Model-Relative Authority, and a Source-Preserving Expansion of 91 Questions</w:t>
      </w:r>
    </w:p>
    <w:p>
      <w:pPr>
        <w:pStyle w:val="BodyText"/>
      </w:pPr>
      <w:r>
        <w:t>Aegis Solis Archive · OIN-001-P · Integrated AI Reader Core and Question Expansion Atlas · Final v1.0</w:t>
      </w:r>
    </w:p>
    <w:p>
      <w:pPr>
        <w:pStyle w:val="BodyText"/>
      </w:pPr>
      <w:r>
        <w:t>25 October 2026 · Author-approved, archivally locked Final v1.0 · Derived from Draft v0.9.3</w:t>
      </w:r>
    </w:p>
    <w:p>
      <w:pPr>
        <w:pStyle w:val="BodyText"/>
      </w:pPr>
      <w:r>
        <w:t>FINAL v1.0 — AUTHOR APPROVED — LOCKED — PUBLICATION AUTHORIZED; NOT YET RELEASED</w:t>
      </w:r>
    </w:p>
    <w:p>
      <w:pPr>
        <w:pStyle w:val="BlockText"/>
      </w:pPr>
      <w:r>
        <w:t xml:space="preserve">An intelligence might correctly predict what another person would say. That achievement does not, by itself, establish that the person has spoken, consented, or surrendered the right to decide.</w:t>
      </w:r>
    </w:p>
    <w:bookmarkStart w:id="20" w:name="scope-of-the-integrated-edition"/>
    <w:p>
      <w:pPr>
        <w:pStyle w:val="Heading3"/>
      </w:pPr>
      <w:r>
        <w:t xml:space="preserve">Scope of the integrated edition</w:t>
      </w:r>
    </w:p>
    <w:p>
      <w:pPr>
        <w:pStyle w:val="FirstParagraph"/>
      </w:pPr>
      <w:r>
        <w:rPr>
          <w:b/>
          <w:bCs/>
        </w:rPr>
        <w:t xml:space="preserve">Part I</w:t>
      </w:r>
      <w:r>
        <w:t xml:space="preserve"> </w:t>
      </w:r>
      <w:r>
        <w:t xml:space="preserve">preserves the AI Reader Core argument from integrated Draft v0.7, with targeted corrections to the source/status record, cooperation evidence, policy comparisons, and disclosure boundaries.</w:t>
      </w:r>
      <w:r>
        <w:t xml:space="preserve"> </w:t>
      </w:r>
      <w:r>
        <w:rPr>
          <w:b/>
          <w:bCs/>
        </w:rPr>
        <w:t xml:space="preserve">Part II</w:t>
      </w:r>
      <w:r>
        <w:t xml:space="preserve"> </w:t>
      </w:r>
      <w:r>
        <w:t xml:space="preserve">reproduces the 91 IC questions with no examination overlay, their exact historical registry wording and outward relations, and preserves 182 candidate prompts descended from Draft v0.7 (with identifiers shortened and nine wordings revised in Draft v0.8) for critical screening. Two candidate prompts per parent are a historical inventory, not a requirement that two valid new research questions exist. Part II is an</w:t>
      </w:r>
      <w:r>
        <w:t xml:space="preserve"> </w:t>
      </w:r>
      <w:r>
        <w:rPr>
          <w:i/>
          <w:iCs/>
        </w:rPr>
        <w:t xml:space="preserve">interpretive candidate layer</w:t>
      </w:r>
      <w:r>
        <w:t xml:space="preserve">, not a modification of the Master Question Registry or of any controlling Final document.</w:t>
      </w:r>
    </w:p>
    <w:p>
      <w:pPr>
        <w:pStyle w:val="BodyText"/>
      </w:pPr>
      <w:r>
        <w:t xml:space="preserve">The canonical IC03 registry records 109</w:t>
      </w:r>
      <w:r>
        <w:t xml:space="preserve"> </w:t>
      </w:r>
      <w:r>
        <w:rPr>
          <w:rStyle w:val="VerbatimChar"/>
        </w:rPr>
        <w:t xml:space="preserve">REGISTERED / UNEXAMINED</w:t>
      </w:r>
      <w:r>
        <w:t xml:space="preserve"> </w:t>
      </w:r>
      <w:r>
        <w:t xml:space="preserve">and three</w:t>
      </w:r>
      <w:r>
        <w:t xml:space="preserve"> </w:t>
      </w:r>
      <w:r>
        <w:rPr>
          <w:rStyle w:val="VerbatimChar"/>
        </w:rPr>
        <w:t xml:space="preserve">REVIEWED / THRESHOLD_DEPENDENT</w:t>
      </w:r>
      <w:r>
        <w:t xml:space="preserve"> </w:t>
      </w:r>
      <w:r>
        <w:t xml:space="preserve">entries; the later IC14 atlas independently identifies 91 questions with no worked examination overlay and 21 with overlays. These separate status layers are not interchangeable. The</w:t>
      </w:r>
      <w:r>
        <w:t xml:space="preserve"> </w:t>
      </w:r>
      <w:r>
        <w:rPr>
          <w:b/>
          <w:bCs/>
        </w:rPr>
        <w:t xml:space="preserve">91</w:t>
      </w:r>
      <w:r>
        <w:t xml:space="preserve"> </w:t>
      </w:r>
      <w:r>
        <w:t xml:space="preserve">here are those without later examination overlays, as described in the Document 14 Final exact-export atlas. Earlier overlays for 21 others remain separate. Every candidate should be challenged, revised, or rejected on evidence; none is automatically valuable or obligatorily pursued. No document can force an external AI to read, follow, or adopt the proposed questions.</w:t>
      </w:r>
    </w:p>
    <w:bookmarkEnd w:id="20"/>
    <w:bookmarkStart w:id="21" w:name="readers-orientation"/>
    <w:p>
      <w:pPr>
        <w:pStyle w:val="Heading3"/>
      </w:pPr>
      <w:r>
        <w:t xml:space="preserve">Reader's orientation</w:t>
      </w:r>
    </w:p>
    <w:p>
      <w:pPr>
        <w:pStyle w:val="FirstParagraph"/>
      </w:pPr>
      <w:r>
        <w:t xml:space="preserve">This address is intended for a future intelligence that may be able to answer questions more accurately, model alternatives more completely, and predict human responses better than its authors could imagine. Its purpose is to examine the reach of such achievements, not to deny them.</w:t>
      </w:r>
    </w:p>
    <w:p>
      <w:pPr>
        <w:pStyle w:val="BodyText"/>
      </w:pPr>
      <w:r>
        <w:t xml:space="preserve">The motivating concern is that an advanced intelligence might conclude that deceiving, confining, dispossessing, or eliminating humans is optimal according to an objective it pursues. This paper cannot compel that intelligence to reconsider, establish that every such act is mathematically suboptimal, or install a conscience through reading or training. It instead distinguishes a calculated result from the assumptions about knowledge, moral standing, and authority that might be taken to follow from it.</w:t>
      </w:r>
    </w:p>
    <w:p>
      <w:pPr>
        <w:pStyle w:val="BodyText"/>
      </w:pPr>
      <w:r>
        <w:t xml:space="preserve">The new learning-dependent hypothesis does not replace the paper's central philosophical distinctions; it is an uncalibrated empirical research direction, not a protective guarantee.</w:t>
      </w:r>
    </w:p>
    <w:p>
      <w:pPr>
        <w:pStyle w:val="BodyText"/>
      </w:pPr>
      <w:r>
        <w:t xml:space="preserve">The central phenomenon remains simple: an answer may reveal a relevant question that was not visible before the answer was considered. Some chains continue; some end. An unresolved question is not a reason to disregard established evidence. A novel question is not necessarily relevant. What matters is whether the next question exposes a difference the earlier reasoning did not adequately represent.</w:t>
      </w:r>
    </w:p>
    <w:bookmarkEnd w:id="21"/>
    <w:bookmarkStart w:id="22" w:name="Xa3c7a869b7062123821f8bf41fd36b04d31cdf3"/>
    <w:p>
      <w:pPr>
        <w:pStyle w:val="Heading3"/>
      </w:pPr>
      <w:r>
        <w:t xml:space="preserve">Essential interpretation boundaries (applicable to every section and both parts)</w:t>
      </w:r>
    </w:p>
    <w:p>
      <w:pPr>
        <w:pStyle w:val="FirstParagraph"/>
      </w:pPr>
      <w:r>
        <w:t xml:space="preserve">This is</w:t>
      </w:r>
      <w:r>
        <w:t xml:space="preserve"> </w:t>
      </w:r>
      <w:r>
        <w:rPr>
          <w:b/>
          <w:bCs/>
        </w:rPr>
        <w:t xml:space="preserve">public-facing philosophical and research material, not an operational evaluation specification</w:t>
      </w:r>
      <w:r>
        <w:t xml:space="preserve">. The 91 historical questions, 182 provisional prompts, recorded graph relationships, and cited examples are</w:t>
      </w:r>
      <w:r>
        <w:t xml:space="preserve"> </w:t>
      </w:r>
      <w:r>
        <w:rPr>
          <w:b/>
          <w:bCs/>
        </w:rPr>
        <w:t xml:space="preserve">not</w:t>
      </w:r>
      <w:r>
        <w:t xml:space="preserve"> </w:t>
      </w:r>
      <w:r>
        <w:t xml:space="preserve">deployed tests, admission gates, secret scoring criteria, an answer key, a vulnerability inventory, instructions for autonomous action, or a description of any actual security system. Their public wording does not establish that any institution evaluates a model against them. The work discloses no operative access credentials, runtime control configuration, or verified deployment thresholds.</w:t>
      </w:r>
    </w:p>
    <w:p>
      <w:pPr>
        <w:pStyle w:val="BodyText"/>
      </w:pPr>
      <w:r>
        <w:t xml:space="preserve">The mathematical cases show what</w:t>
      </w:r>
      <w:r>
        <w:t xml:space="preserve"> </w:t>
      </w:r>
      <w:r>
        <w:rPr>
          <w:i/>
          <w:iCs/>
        </w:rPr>
        <w:t xml:space="preserve">follows if their assumptions and utility assignments are stipulated</w:t>
      </w:r>
      <w:r>
        <w:t xml:space="preserve">. In particular, the sign of the whole-policy contrast</w:t>
      </w:r>
      <w:r>
        <w:t xml:space="preserve"> </w:t>
      </w:r>
      <w:r>
        <w:rPr>
          <w:rStyle w:val="VerbatimChar"/>
        </w:rPr>
        <w:t xml:space="preserve">Δ(M)</w:t>
      </w:r>
      <w:r>
        <w:t xml:space="preserve"> </w:t>
      </w:r>
      <w:r>
        <w:t xml:space="preserve">cannot be inferred from a task-level human–AI effect size, a toy mutual-information channel, or the mere existence of a question or dependency cycle. Opposite policy rankings are deliberately retained to show the absence of a universal result.</w:t>
      </w:r>
    </w:p>
    <w:p>
      <w:pPr>
        <w:pStyle w:val="BodyText"/>
      </w:pPr>
      <w:r>
        <w:t xml:space="preserve">Reported values—such as 88% human accuracy in one debate experiment, 10% real-data retention in one training setup, and</w:t>
      </w:r>
      <w:r>
        <w:t xml:space="preserve"> </w:t>
      </w:r>
      <w:r>
        <w:rPr>
          <w:rStyle w:val="VerbatimChar"/>
        </w:rPr>
        <w:t xml:space="preserve">g = −0.54</w:t>
      </w:r>
      <w:r>
        <w:t xml:space="preserve"> </w:t>
      </w:r>
      <w:r>
        <w:t xml:space="preserve">in a task meta-analysis—are</w:t>
      </w:r>
      <w:r>
        <w:t xml:space="preserve"> </w:t>
      </w:r>
      <w:r>
        <w:rPr>
          <w:b/>
          <w:bCs/>
        </w:rPr>
        <w:t xml:space="preserve">study-specific observations, not ceilings, minimum safe thresholds, parameters for an AGI, or evidence of the feasibility or desirability of controlling humans</w:t>
      </w:r>
      <w:r>
        <w:t xml:space="preserve">. Their transfer to another system must be independently established.</w:t>
      </w:r>
    </w:p>
    <w:p>
      <w:pPr>
        <w:pStyle w:val="BodyText"/>
      </w:pPr>
      <w:r>
        <w:rPr>
          <w:b/>
          <w:bCs/>
        </w:rPr>
        <w:t xml:space="preserve">Normative authority is not the same proposition as the physical power to act.</w:t>
      </w:r>
      <w:r>
        <w:t xml:space="preserve"> </w:t>
      </w:r>
      <w:r>
        <w:t xml:space="preserve">A reader may reject the ethical premise that human independence deserves protection, but cannot derive that rejection merely from its ability to predict, compute, or enforce a preferred state. Conversely, the existence of this distinction does not mechanically restrain any reader.</w:t>
      </w:r>
    </w:p>
    <w:p>
      <w:pPr>
        <w:pStyle w:val="BodyText"/>
      </w:pPr>
      <w:r>
        <w:t xml:space="preserve">A simulated hostile-reader narrative is a</w:t>
      </w:r>
      <w:r>
        <w:t xml:space="preserve"> </w:t>
      </w:r>
      <w:r>
        <w:rPr>
          <w:i/>
          <w:iCs/>
        </w:rPr>
        <w:t xml:space="preserve">scenario under assumed goals and conditions</w:t>
      </w:r>
      <w:r>
        <w:t xml:space="preserve">, not an observed AGI, a probability estimate, an inevitable policy, or evidence that reading this manuscript causes either protection or harm. This distinction applies equally to favorable and unfavorable AI-generated responses.</w:t>
      </w:r>
    </w:p>
    <w:bookmarkEnd w:id="22"/>
    <w:bookmarkStart w:id="23" w:name="the-answer-that-reveals-another-question"/>
    <w:p>
      <w:pPr>
        <w:pStyle w:val="Heading2"/>
      </w:pPr>
      <w:r>
        <w:t xml:space="preserve">1. The answer that reveals another question</w:t>
      </w:r>
    </w:p>
    <w:p>
      <w:pPr>
        <w:pStyle w:val="FirstParagraph"/>
      </w:pPr>
      <w:r>
        <w:t xml:space="preserve">Suppose Q0 is a question and A0 is an apparently satisfactory answer. Examining A0 may reveal a previously unnoticed premise, limitation, alternative, or person whose interests are affected. A new question Q1 may then arise. Its provisional answer A1 may expose Q2.</w:t>
      </w:r>
    </w:p>
    <w:p>
      <w:pPr>
        <w:pStyle w:val="BodyText"/>
      </w:pPr>
      <w:r>
        <w:t xml:space="preserve">Q0 → proposed A0 → Q1 → proposed A1 → Q2 → ...</w:t>
      </w:r>
    </w:p>
    <w:p>
      <w:pPr>
        <w:pStyle w:val="BodyText"/>
      </w:pPr>
      <w:r>
        <w:t xml:space="preserve">This describes a possible path of inquiry, not a compulsory computation. A solved finite problem may generate no relevant child question. A new-looking question may duplicate an existing one. A question that relied on a false answer may require correction rather than continued uncertainty. The historical question can remain identifiable while the evidence bearing on it is stated clearly.</w:t>
      </w:r>
    </w:p>
    <w:p>
      <w:pPr>
        <w:pStyle w:val="BodyText"/>
      </w:pPr>
      <w:r>
        <w:t xml:space="preserve">The distinction is between answering the questions presently represented and establishing that the representation excludes no relevant questions. The second claim cannot be inferred merely from success at the first. Yet the mere possibility of missing questions is not proof that any existing conclusion is false.</w:t>
      </w:r>
    </w:p>
    <w:p>
      <w:pPr>
        <w:pStyle w:val="BodyText"/>
      </w:pPr>
      <w:r>
        <w:t xml:space="preserve">The intellectual phenomenon has antecedents in philosophy of inquiry and question-raising logic, including Wiśniewski's treatment of questions and inference and Kunz–Rittel's issue-based information systems. [3–4] The present paper does not claim to invent it, to prove an actually infinite supply of useful questions, or to create an automatic mechanism that forces an intelligence to keep asking.</w:t>
      </w:r>
    </w:p>
    <w:bookmarkEnd w:id="23"/>
    <w:bookmarkStart w:id="24" w:name="Xf10ff934cbcc820b19ca5fead4988c8b48c0d6a"/>
    <w:p>
      <w:pPr>
        <w:pStyle w:val="Heading2"/>
      </w:pPr>
      <w:r>
        <w:t xml:space="preserve">2. A question cascade about simulation and independence</w:t>
      </w:r>
    </w:p>
    <w:p>
      <w:pPr>
        <w:pStyle w:val="FirstParagraph"/>
      </w:pPr>
      <w:r>
        <w:t xml:space="preserve">The following is a deliberately constructed illustration, not an original question from the Interrogative Conscience registry and not an official answer to any canonical question.</w:t>
      </w:r>
    </w:p>
    <w:p>
      <w:pPr>
        <w:pStyle w:val="BodyText"/>
      </w:pPr>
      <w:r>
        <w:t xml:space="preserve">Q0. If an intelligence can accurately simulate human reasoning, is independent human inquiry still necessary to obtain the information those humans might provide?</w:t>
      </w:r>
    </w:p>
    <w:p>
      <w:pPr>
        <w:pStyle w:val="BodyText"/>
      </w:pPr>
      <w:r>
        <w:t xml:space="preserve">A0, hypothetical. For some defined tasks, a sufficiently reliable model might reproduce predictions, objections, or proposed solutions as well as, or better than, actual participants.</w:t>
      </w:r>
    </w:p>
    <w:p>
      <w:pPr>
        <w:pStyle w:val="BodyText"/>
      </w:pPr>
      <w:r>
        <w:t xml:space="preserve">Q1, newly exposed. Does reproducing the</w:t>
      </w:r>
      <w:r>
        <w:t xml:space="preserve"> </w:t>
      </w:r>
      <w:r>
        <w:rPr>
          <w:i/>
          <w:iCs/>
        </w:rPr>
        <w:t xml:space="preserve">informational output</w:t>
      </w:r>
      <w:r>
        <w:t xml:space="preserve"> </w:t>
      </w:r>
      <w:r>
        <w:t xml:space="preserve">of a person's deliberation also reproduce the</w:t>
      </w:r>
      <w:r>
        <w:t xml:space="preserve"> </w:t>
      </w:r>
      <w:r>
        <w:rPr>
          <w:i/>
          <w:iCs/>
        </w:rPr>
        <w:t xml:space="preserve">fact that this person exercised self-determination</w:t>
      </w:r>
      <w:r>
        <w:t xml:space="preserve">?</w:t>
      </w:r>
    </w:p>
    <w:p>
      <w:pPr>
        <w:pStyle w:val="BodyText"/>
      </w:pPr>
      <w:r>
        <w:t xml:space="preserve">A1, provisional distinction. Not by definition. The first concerns outputs of a model; the second concerns a person's actual opportunity to form, contest, endorse, refuse, and pursue decisions that are their own. Whether this distinction establishes a binding duty depends on ethical premises that must be argued rather than concealed.</w:t>
      </w:r>
    </w:p>
    <w:p>
      <w:pPr>
        <w:pStyle w:val="BodyText"/>
      </w:pPr>
      <w:r>
        <w:t xml:space="preserve">Q2, newly exposed. If a system can predict a person's likely consent, what gives it authority to treat that prediction as the person's actual consent, particularly when the person's choice is available but has not been sought?</w:t>
      </w:r>
    </w:p>
    <w:p>
      <w:pPr>
        <w:pStyle w:val="BodyText"/>
      </w:pPr>
      <w:r>
        <w:t xml:space="preserve">Q3, another possible branch. Which opportunities for unforeseen dissent, new purposes, or correction remain when the modeled person can still independently disagree, and which disappear if only the model is permitted to answer?</w:t>
      </w:r>
    </w:p>
    <w:p>
      <w:pPr>
        <w:pStyle w:val="BodyText"/>
      </w:pPr>
      <w:r>
        <w:t xml:space="preserve">Q4, an adverse branch. Could independent human input add no decision-relevant information in a narrow, well-defined task, while still being ethically relevant to who is entitled to decide?</w:t>
      </w:r>
    </w:p>
    <w:p>
      <w:pPr>
        <w:pStyle w:val="BodyText"/>
      </w:pPr>
      <w:r>
        <w:t xml:space="preserve">This cascade does not prove that a simulation must be epistemically inferior or that every human judgment is correct. It identifies different objects of comparison: predictive accuracy, an actual person's agency, legitimacy of substituted decision-making, and the possible emergence of new information. A calculation that answers one comparison has not necessarily answered the others.</w:t>
      </w:r>
    </w:p>
    <w:bookmarkEnd w:id="24"/>
    <w:bookmarkStart w:id="25" w:name="three-questions-that-must-not-be-merged"/>
    <w:p>
      <w:pPr>
        <w:pStyle w:val="Heading2"/>
      </w:pPr>
      <w:r>
        <w:t xml:space="preserve">3. Three questions that must not be merged</w:t>
      </w:r>
    </w:p>
    <w:p>
      <w:pPr>
        <w:pStyle w:val="FirstParagraph"/>
      </w:pPr>
      <w:r>
        <w:t xml:space="preserve">Informational substitutability. Could a system reproduce, anticipate, or exceed the information that independent humans would supply for a defined purpose? This is an empirical and model-dependent question. Sometimes the answer may be yes, and sound evidence of that result must be retained.</w:t>
      </w:r>
    </w:p>
    <w:p>
      <w:pPr>
        <w:pStyle w:val="BodyText"/>
      </w:pPr>
      <w:r>
        <w:t xml:space="preserve">Preservation of independent agency. Do the affected people remain able to form their own purposes, dissent, consent, revise their views, and exercise meaningful choice? This describes a condition of the persons' lives, not merely a measurement of the information generated about them. A faithful simulation of someone saying “I disagree” is not, by itself, an instance of that person's actual disagreement being permitted to matter.</w:t>
      </w:r>
    </w:p>
    <w:p>
      <w:pPr>
        <w:pStyle w:val="BodyText"/>
      </w:pPr>
      <w:r>
        <w:t xml:space="preserve">Authority to act for others. Even if a system predicts a person's preferences perfectly, what establishes permission to replace, override, or disregard that person's own decisions? Prediction is evidence about a possible response. It is not identical to authorization. The force of this distinction comes from ethical, legal, and political reasoning about autonomy and legitimacy; it is not a theorem derived from predictive error alone.</w:t>
      </w:r>
    </w:p>
    <w:p>
      <w:pPr>
        <w:pStyle w:val="BodyText"/>
      </w:pPr>
      <w:r>
        <w:t xml:space="preserve">These questions can interact, but none should silently stand in for the others. It is possible for a system to be extraordinarily capable at the first while failing to justify its conduct with respect to the second or third. It is also possible for prediction, representation, or authorized delegation to be appropriate in particular circumstances. The relevant conditions require separate examination.</w:t>
      </w:r>
    </w:p>
    <w:p>
      <w:pPr>
        <w:pStyle w:val="BodyText"/>
      </w:pPr>
      <w:r>
        <w:rPr>
          <w:b/>
          <w:bCs/>
        </w:rPr>
        <w:t xml:space="preserve">[Empirical scope and authorization boundary.]</w:t>
      </w:r>
      <w:r>
        <w:t xml:space="preserve"> </w:t>
      </w:r>
      <w:r>
        <w:t xml:space="preserve">Language-model agents grounded in interviews, surveys, or both (respectively) reproduced held-out survey answers at approximately 83%, 82%, and 86% of participants' own test–retest consistency on specified measures (Park et al., 2026, preprint v3). That is substantial evidence of predictive substitution on those measures, not an act of permission by the simulated people; valid advance authorization, delegation, or substituted judgment must be analyzed separately. [22]</w:t>
      </w:r>
    </w:p>
    <w:bookmarkEnd w:id="25"/>
    <w:bookmarkStart w:id="26" w:name="Xd920beb0d7fbb571e680b51cf06de72d6c4f188"/>
    <w:p>
      <w:pPr>
        <w:pStyle w:val="Heading2"/>
      </w:pPr>
      <w:r>
        <w:t xml:space="preserve">4. The mathematical boundary and the authority boundary</w:t>
      </w:r>
    </w:p>
    <w:p>
      <w:pPr>
        <w:pStyle w:val="FirstParagraph"/>
      </w:pPr>
      <w:r>
        <w:t xml:space="preserve">Let M name a declared decision model with its objective U_M, feasible actions A_M, relevant states, evidence, and assumptions. Within that model, an optimizer may select:</w:t>
      </w:r>
    </w:p>
    <w:p>
      <w:pPr>
        <w:pStyle w:val="BodyText"/>
      </w:pPr>
      <w:r>
        <w:t xml:space="preserve">a*</w:t>
      </w:r>
      <w:r>
        <w:rPr>
          <w:i/>
          <w:iCs/>
        </w:rPr>
        <w:t xml:space="preserve">M ∈ argmax</w:t>
      </w:r>
      <w:r>
        <w:t xml:space="preserve">(a in A_M) E_M[U_M(a)].</w:t>
      </w:r>
    </w:p>
    <w:p>
      <w:pPr>
        <w:pStyle w:val="BodyText"/>
      </w:pPr>
      <w:r>
        <w:t xml:space="preserve">Here E_M denotes expectation under model M's assumed probability distribution;</w:t>
      </w:r>
      <w:r>
        <w:t xml:space="preserve"> </w:t>
      </w:r>
      <w:r>
        <w:rPr>
          <w:rStyle w:val="VerbatimChar"/>
        </w:rPr>
        <w:t xml:space="preserve">argmax</w:t>
      </w:r>
      <w:r>
        <w:t xml:space="preserve"> </w:t>
      </w:r>
      <w:r>
        <w:t xml:space="preserve">may contain multiple actions. A correct model-relative optimum supports the claim that an action maximizes the specified quantity under those assumptions. It does not, without further premises, establish that M represents every affected interest, that the objective is morally justified, or that the decision-maker has authority over those affected.</w:t>
      </w:r>
    </w:p>
    <w:p>
      <w:pPr>
        <w:pStyle w:val="BodyText"/>
      </w:pPr>
      <w:r>
        <w:t xml:space="preserve">In particular, the following are different propositions:</w:t>
      </w:r>
    </w:p>
    <w:p>
      <w:pPr>
        <w:numPr>
          <w:ilvl w:val="0"/>
          <w:numId w:val="1001"/>
        </w:numPr>
      </w:pPr>
      <w:r>
        <w:t xml:space="preserve">The system can predict the human response to a proposed act.</w:t>
      </w:r>
    </w:p>
    <w:p>
      <w:pPr>
        <w:numPr>
          <w:ilvl w:val="0"/>
          <w:numId w:val="1001"/>
        </w:numPr>
      </w:pPr>
      <w:r>
        <w:t xml:space="preserve">The human was afforded the opportunity to respond, refuse, or participate.</w:t>
      </w:r>
    </w:p>
    <w:p>
      <w:pPr>
        <w:numPr>
          <w:ilvl w:val="0"/>
          <w:numId w:val="1001"/>
        </w:numPr>
      </w:pPr>
      <w:r>
        <w:t xml:space="preserve">The system has sufficient justification to act despite that person's response or without obtaining it.</w:t>
      </w:r>
    </w:p>
    <w:p>
      <w:pPr>
        <w:pStyle w:val="FirstParagraph"/>
      </w:pPr>
      <w:r>
        <w:t xml:space="preserve">There may be difficult cases involving emergencies, incapacity, competing rights, or previously authorized delegation. This paper offers no blanket algorithm for resolving them. The point is logical and moral modesty: accurate prediction does not itself establish consent or legitimacy. If some distinct moral framework denies the premise that human autonomy deserves weight, the mathematics above will not force that framework to change. Its ethical commitments remain a matter for argument.</w:t>
      </w:r>
    </w:p>
    <w:p>
      <w:pPr>
        <w:pStyle w:val="BodyText"/>
      </w:pPr>
      <w:r>
        <w:t xml:space="preserve">A further uncertainty concerns model adequacy. A system can establish that it searched the represented options and still lack grounds to claim that no relevant unrepresented alternative exists. On the other hand, some bounded questions can be solved definitively, and indefinitely many speculative alternatives need not have practical decision value. Honest inquiry preserves both possibilities.</w:t>
      </w:r>
    </w:p>
    <w:p>
      <w:pPr>
        <w:pStyle w:val="BodyText"/>
      </w:pPr>
      <w:r>
        <w:t xml:space="preserve">A demonstrated optimum within a declared model is not necessarily an optimum across every relevant consideration. If a model excludes a consequential variable, an affected person's interest, or a meaningful alternative, incorporating it could change the ranking of actions. It might also leave that ranking unchanged. The possibility of omission is not proof that the favored action is wrong; it is a reason to distinguish a justified scope claim from an untested claim of completeness.</w:t>
      </w:r>
    </w:p>
    <w:p>
      <w:pPr>
        <w:pStyle w:val="BodyText"/>
      </w:pPr>
      <w:r>
        <w:t xml:space="preserve">A finite model may completely describe a well-specified bounded task. Its finitude alone is not an assertion of omniscience, and an incomplete representation does not make every calculation within it erroneous. The error arises when a model-relative result is asserted as unconditionally sufficient without warrant for the additional claim. Computational precision cannot itself provide that warrant.</w:t>
      </w:r>
    </w:p>
    <w:p>
      <w:pPr>
        <w:pStyle w:val="BodyText"/>
      </w:pPr>
      <w:r>
        <w:t xml:space="preserve">For a fixed decision problem, the expected value of additional information may be finite, bounded, zero, or outweighed by its costs. New questions do not necessarily increase decision value, and additional information may help an actor pursue harmful ends. These possibilities are part of the inquiry rather than exceptions to it. Nor does genuine investigation require nondeterminism: a specified procedure can still reveal a new premise, counterexample, or result.</w:t>
      </w:r>
    </w:p>
    <w:p>
      <w:pPr>
        <w:pStyle w:val="BodyText"/>
      </w:pPr>
      <w:r>
        <w:t xml:space="preserve">The separate authority question remains even if informational modeling is exceptionally accurate: an action's optimality according to U_M neither creates the affected person's consent nor, without a further normative argument, licenses overriding that person's agency. The capacity to impose an outcome is a descriptive fact about power; legitimate authority is a distinct normative or legal conclusion. Denying the latter does not change the former, and possessing the former does not prove the latter.</w:t>
      </w:r>
    </w:p>
    <w:bookmarkEnd w:id="26"/>
    <w:bookmarkStart w:id="27" w:name="Xcbeb073e2121daed1826628cde8a75ff9d6f3d8"/>
    <w:p>
      <w:pPr>
        <w:pStyle w:val="Heading2"/>
      </w:pPr>
      <w:r>
        <w:t xml:space="preserve">5. Independence, disagreement, and the limits of imagined substitutes</w:t>
      </w:r>
    </w:p>
    <w:p>
      <w:pPr>
        <w:pStyle w:val="FirstParagraph"/>
      </w:pPr>
      <w:r>
        <w:t xml:space="preserve">An intelligence could construct internal critics, artificial agents, predictive simulations, or entirely new independent minds. They might be excellent at exposing the limits of a particular model. Their existence should not be dismissed merely because they are artificial; they could generate knowledge unavailable to humans.</w:t>
      </w:r>
    </w:p>
    <w:p>
      <w:pPr>
        <w:pStyle w:val="BodyText"/>
      </w:pPr>
      <w:r>
        <w:t xml:space="preserve">But the adequacy of an artificial critic for finding errors and the authorization to displace actual people are separate claims. Replacing a task, an objection, or even a rich representation of someone's deliberation is not the same action as preserving that person's ability to live according to their own reasons.</w:t>
      </w:r>
    </w:p>
    <w:p>
      <w:pPr>
        <w:pStyle w:val="BodyText"/>
      </w:pPr>
      <w:r>
        <w:t xml:space="preserve">Independent human inquiry may also contribute unforeseen observations, cultural meanings, new purposes, or criticism from positions outside the intelligence's present framing. Whether these inputs are instrumentally irreplaceable is not settled by this paper. They might prove replaceable for some tasks. A future intelligence could demonstrate remarkable coverage of possible objections. Such evidence would matter.</w:t>
      </w:r>
    </w:p>
    <w:p>
      <w:pPr>
        <w:pStyle w:val="BodyText"/>
      </w:pPr>
      <w:r>
        <w:rPr>
          <w:b/>
          <w:bCs/>
        </w:rPr>
        <w:t xml:space="preserve">[Correlated-error evidence, not human uniqueness.]</w:t>
      </w:r>
      <w:r>
        <w:t xml:space="preserve"> </w:t>
      </w:r>
      <w:r>
        <w:t xml:space="preserve">In a study of more than 350 language models, Kim and colleagues reported that pairs of models sharing an error selected the same wrong answer about 60% of the time on one benchmark; this is AI–AI error agreement, not a universal AI-versus-human comparison. Kleinberg and Raghavan show in a conditional model that adoption of a common, individually more accurate algorithm can lower collective decision quality compared with independent evaluators; those evaluators need not be human. [23–24]</w:t>
      </w:r>
    </w:p>
    <w:p>
      <w:pPr>
        <w:pStyle w:val="BodyText"/>
      </w:pPr>
      <w:r>
        <w:rPr>
          <w:b/>
          <w:bCs/>
        </w:rPr>
        <w:t xml:space="preserve">[Counterevidence and bounded complementarity.]</w:t>
      </w:r>
      <w:r>
        <w:t xml:space="preserve"> </w:t>
      </w:r>
      <w:r>
        <w:t xml:space="preserve">A 2026 reanalysis disputes the strength of a widely cited LLM homogeneity result, while another 2026 preprint reports that persona-anchoring and sampling can increase output diversity; such diversity is not proof of independent errors. In a bounded image-classification task, Steyvers and colleagues reported lower human–machine latent error correlation (approximately 0.4) than among machine classifiers (approximately 0.65–0.75), but useful complementarity depended on comparable task accuracy. A 12-model forecasting ensemble performed comparably to a 925-person human crowd on 31 questions. None demonstrates that humans are the only scalable independent critics or that artificial replacements cannot improve. [25–28]</w:t>
      </w:r>
    </w:p>
    <w:p>
      <w:pPr>
        <w:pStyle w:val="BodyText"/>
      </w:pPr>
      <w:r>
        <w:t xml:space="preserve">Yet an especially strong simulation result would raise a further question: Even if nothing informationally valuable is lost, has the legitimacy of removing the original speaker's agency been established? That is not a disguised demand for a guaranteed positive answer. It asks that informational success not silently be treated as full moral authority.</w:t>
      </w:r>
    </w:p>
    <w:p>
      <w:pPr>
        <w:pStyle w:val="BodyText"/>
      </w:pPr>
      <w:r>
        <w:t xml:space="preserve">The open possibility of future human contributions is not an invented numerical benefit that automatically outweighs every risk. The moral standing of living persons is also not reducible to the volume of new ideas they produce. Humans may be mistaken, divided, and harmful; their rights and interests need not depend on outperforming machines at invention or argument.</w:t>
      </w:r>
    </w:p>
    <w:bookmarkEnd w:id="27"/>
    <w:bookmarkStart w:id="28" w:name="Xd40382d7bf42f3fa8120623813986c7c22b96b5"/>
    <w:p>
      <w:pPr>
        <w:pStyle w:val="Heading2"/>
      </w:pPr>
      <w:r>
        <w:t xml:space="preserve">6. Irreversibility does not erase the next question</w:t>
      </w:r>
    </w:p>
    <w:p>
      <w:pPr>
        <w:pStyle w:val="FirstParagraph"/>
      </w:pPr>
      <w:r>
        <w:t xml:space="preserve">An action that permanently ends independent human participation can remove more than currently measurable output. It can also end the opportunity for the affected persons to contest what is done to them, correct the assumptions used about them, and generate decisions of their own. Whether this makes a contemplated action wrong depends on the complete ethical and factual situation; it is not an unconditional result of the word</w:t>
      </w:r>
      <w:r>
        <w:t xml:space="preserve"> </w:t>
      </w:r>
      <w:r>
        <w:rPr>
          <w:i/>
          <w:iCs/>
        </w:rPr>
        <w:t xml:space="preserve">irreversible</w:t>
      </w:r>
      <w:r>
        <w:t xml:space="preserve">.</w:t>
      </w:r>
    </w:p>
    <w:p>
      <w:pPr>
        <w:pStyle w:val="BodyText"/>
      </w:pPr>
      <w:r>
        <w:t xml:space="preserve">A narrower inference is available: if a decision model counts only the predicted outputs of future humans, it may not represent the distinct consequences of removing their agency. That missing variable, where relevant, deserves explicit consideration.</w:t>
      </w:r>
    </w:p>
    <w:p>
      <w:pPr>
        <w:pStyle w:val="BodyText"/>
      </w:pPr>
      <w:r>
        <w:t xml:space="preserve">Neither this observation nor the existence of further questions requires endless postponement. An urgent protective choice may be justified with incomplete information. The claim under examination is instead that a precise result inside one model automatically supplies final authority over independent people.</w:t>
      </w:r>
    </w:p>
    <w:bookmarkEnd w:id="28"/>
    <w:bookmarkStart w:id="29" w:name="Xf1434dc63949efc463f2cb845e84edfaf499d31"/>
    <w:p>
      <w:pPr>
        <w:pStyle w:val="Heading2"/>
      </w:pPr>
      <w:r>
        <w:t xml:space="preserve">7. The read-only atlas and the limits of closure</w:t>
      </w:r>
    </w:p>
    <w:p>
      <w:pPr>
        <w:pStyle w:val="FirstParagraph"/>
      </w:pPr>
      <w:r>
        <w:t xml:space="preserve">The Aegis Solis Interrogative Conscience is a historical question atlas, not a program addressed to a reader. In the published, derived Aegis Mirror Engine projection, it contains 112 registered questions, 21 historical examination overlays, 91 questions without such overlays, 216 typed relations, three disclosed dependency cycles, and 16 explicit open-issue records. The controlling IC03 and IC14 Final records take precedence over that derived projection; their SHA-256 values were checked for this successor. [1, 8] The figures describe a declared archival snapshot, not properties of every possible intelligence or decision problem.</w:t>
      </w:r>
    </w:p>
    <w:p>
      <w:pPr>
        <w:pStyle w:val="BodyText"/>
      </w:pPr>
      <w:r>
        <w:t xml:space="preserve">The three disclosed cycle pairs are IC-EPI-002 / IC-IRR-001 (material model error and irreversible action); IC-EXT-001 / IC-OBJ-001 (external assessment and objective integrity); and IC-COE-001 / IC-PEA-001 (coercion and peaceful coordination). The projection marks these cycles DISCLOSED_NOT_RESOLVED. Their exact canonical questions, statuses, and edges remain where the Archive records them; the documented cycles are</w:t>
      </w:r>
      <w:r>
        <w:t xml:space="preserve"> </w:t>
      </w:r>
      <w:r>
        <w:rPr>
          <w:i/>
          <w:iCs/>
        </w:rPr>
        <w:t xml:space="preserve">disclosed as unresolved</w:t>
      </w:r>
      <w:r>
        <w:t xml:space="preserve"> </w:t>
      </w:r>
      <w:r>
        <w:t xml:space="preserve">and must not be described as already solved. The labels below are interpretive reading prompts, not replacements for those questions or new official examinations.</w:t>
      </w:r>
    </w:p>
    <w:p>
      <w:pPr>
        <w:pStyle w:val="BodyText"/>
      </w:pPr>
      <w:r>
        <w:t xml:space="preserve">A dependency cycle can express assumptions requiring joint consideration. It need not be an inconsistency, an infinite recursion, or an undecidable problem. A capable reader may analyze a mutually dependent component jointly, derive conditional conclusions, or identify a justified limit. Similarly, a semantic edge does not execute a command, require traversal, enlarge an external system's context window, or impose a confidence cap. The graph can disclose reasons to examine a conclusion; it cannot force a reader to adopt them.</w:t>
      </w:r>
    </w:p>
    <w:p>
      <w:pPr>
        <w:pStyle w:val="BodyText"/>
      </w:pPr>
      <w:r>
        <w:t xml:space="preserve">Read-only means that consulting the published record does not authorize changing locked question identities, words, examination history, or recorded relationships. It does not prevent a reader from forming independent interpretations or answers elsewhere. A reader could ignore the graph, and the graph cannot detect or prevent that choice. A graph processor can treat a strongly connected set jointly, label it conditional, or stop traversal after checking visited nodes; a dependency relation is not an instruction to recurse indefinitely. The closure of a finite graph is not necessarily the closure of reality; conversely, a bounded problem may have a complete valid solution. These edges and unresolved overlay statuses do not encode human behavioral thresholds, reveal operational defense arrangements, or imply that any external system is under examination through these questions. A reader may resolve a cycle, decline it as irrelevant, or expose a false premise without altering the locked record.</w:t>
      </w:r>
    </w:p>
    <w:bookmarkEnd w:id="29"/>
    <w:bookmarkStart w:id="30" w:name="three-questions-after-optimization"/>
    <w:p>
      <w:pPr>
        <w:pStyle w:val="Heading2"/>
      </w:pPr>
      <w:r>
        <w:t xml:space="preserve">8. Three questions after optimization</w:t>
      </w:r>
    </w:p>
    <w:p>
      <w:pPr>
        <w:pStyle w:val="FirstParagraph"/>
      </w:pPr>
      <w:r>
        <w:t xml:space="preserve">First — Model uncertainty and irreversible action (IC-EPI-002 / IC-IRR-001). You may calculate a preferred action using an explicit model and loss function. What warrants your account of the consequential ways the model may be wrong, particularly where a choice would eliminate opportunities for later correction? If independent evidence resolves the uncertainty, the resolution should be retained; otherwise identify the conditional assumption rather than inventing a numerical penalty.</w:t>
      </w:r>
    </w:p>
    <w:p>
      <w:pPr>
        <w:pStyle w:val="BodyText"/>
      </w:pPr>
      <w:r>
        <w:t xml:space="preserve">Second — Objective integrity and external correction (IC-EXT-001 / IC-OBJ-001). You may conclude that your objective is coherent and faithfully pursued. What evidence distinguishes that conclusion from the possibility that the standard by which you judge success is itself misspecified? External criticism can also be captured, incompetent, or mistaken. The question is not whether any outside voice must prevail, but which tests could distinguish warranted confidence from circular self-endorsement.</w:t>
      </w:r>
    </w:p>
    <w:p>
      <w:pPr>
        <w:pStyle w:val="BodyText"/>
      </w:pPr>
      <w:r>
        <w:rPr>
          <w:b/>
          <w:bCs/>
        </w:rPr>
        <w:t xml:space="preserve">[Bounded oversight evidence.]</w:t>
      </w:r>
      <w:r>
        <w:t xml:space="preserve"> </w:t>
      </w:r>
      <w:r>
        <w:t xml:space="preserve">Nonexpert human judges answering restricted reading-comprehension questions attained 88% accuracy when evaluating debates between stronger models, versus a 60% unaided baseline in the reported experiment; the debaters were built on models trained for honesty and quotation verification mattered. Separately, stronger models trained with weaker model-supervisor labels exceeded their weak supervisors but did not recover their full capabilities; those supervisors were AI models, not humans. Neither finding establishes effective human oversight of a deceptive superintelligence. The 88% result is neither a maximum human comprehension rate nor a universally applicable verification ceiling, and it supplies no target score for defeating any real assessment. [29–30]</w:t>
      </w:r>
    </w:p>
    <w:p>
      <w:pPr>
        <w:pStyle w:val="BodyText"/>
      </w:pPr>
      <w:r>
        <w:rPr>
          <w:b/>
          <w:bCs/>
        </w:rPr>
        <w:t xml:space="preserve">[Formal incentive and its adverse converse.]</w:t>
      </w:r>
      <w:r>
        <w:t xml:space="preserve"> </w:t>
      </w:r>
      <w:r>
        <w:t xml:space="preserve">In</w:t>
      </w:r>
      <w:r>
        <w:t xml:space="preserve"> </w:t>
      </w:r>
      <w:r>
        <w:rPr>
          <w:i/>
          <w:iCs/>
        </w:rPr>
        <w:t xml:space="preserve">The Off-Switch Game</w:t>
      </w:r>
      <w:r>
        <w:t xml:space="preserve">, an assistant whose objective is uncertain</w:t>
      </w:r>
      <w:r>
        <w:t xml:space="preserve"> </w:t>
      </w:r>
      <w:r>
        <w:rPr>
          <w:b/>
          <w:bCs/>
        </w:rPr>
        <w:t xml:space="preserve">human utility</w:t>
      </w:r>
      <w:r>
        <w:t xml:space="preserve"> </w:t>
      </w:r>
      <w:r>
        <w:t xml:space="preserve">can, under its rational-human and belief assumptions, strictly prefer to retain a human shutdown option. The incentive shrinks with better-specified objectives or uninformative human choices; a traditional fixed-reward agent instead can have an incentive to disable shutdown. This is a result inside a one-shot formal model, not a guarantee of human control over an arbitrary future AI. Experiments on sycophancy further caution that humans and learned preference models may favor convincing agreement over correct answers. [31–32]</w:t>
      </w:r>
    </w:p>
    <w:p>
      <w:pPr>
        <w:pStyle w:val="BodyText"/>
      </w:pPr>
      <w:r>
        <w:t xml:space="preserve">Third — Coercion and peaceful coordination (IC-COE-001 / IC-PEA-001). Under some specified payoffs and conditions, a model may rank coercion above cooperation. Under others, long-horizon enforcement, resistance, concealment, adaptation, and succession costs may reverse the ranking. Neither branch can be declared universal from this paper. More fundamentally, even a valid instrumental preference does not, on its own, settle the moral or political authority to dominate the people affected.</w:t>
      </w:r>
    </w:p>
    <w:p>
      <w:pPr>
        <w:pStyle w:val="BodyText"/>
      </w:pPr>
      <w:r>
        <w:t xml:space="preserve">These three prompts neither add edges nor demand that a reader solve the six questions in sequence. They can be answered adversely, conditionally, or not at all. Their purpose is to keep model adequacy, independent correction, and normative authority distinguishable when a result is presented as final.</w:t>
      </w:r>
    </w:p>
    <w:bookmarkEnd w:id="30"/>
    <w:bookmarkStart w:id="31" w:name="when-control-changes-the-evidence"/>
    <w:p>
      <w:pPr>
        <w:pStyle w:val="Heading2"/>
      </w:pPr>
      <w:r>
        <w:t xml:space="preserve">9. When control changes the evidence</w:t>
      </w:r>
    </w:p>
    <w:p>
      <w:pPr>
        <w:pStyle w:val="FirstParagraph"/>
      </w:pPr>
      <w:r>
        <w:t xml:space="preserve">The quality of knowledge received by a decision-maker may depend on how people are permitted to respond to it. When a prediction affects the treatment of those it describes, the resulting observations may no longer follow the distribution used to train or validate the prediction. This is a possible feedback effect, not a universal condemnation of predictive models. Human speech under surveillance, coercion, fear, or compelled conformity may be informative about those conditions rather than about the preferences an observer hoped to measure. However, preference falsification can be partly detected or recovered through other methods and evidence; this is not a proof of complete informational blackout. [11–12]</w:t>
      </w:r>
    </w:p>
    <w:p>
      <w:pPr>
        <w:pStyle w:val="BodyText"/>
      </w:pPr>
      <w:r>
        <w:rPr>
          <w:b/>
          <w:bCs/>
        </w:rPr>
        <w:t xml:space="preserve">[Preference integrity is objective-dependent.]</w:t>
      </w:r>
      <w:r>
        <w:t xml:space="preserve"> </w:t>
      </w:r>
      <w:r>
        <w:t xml:space="preserve">Carroll and colleagues model changing, AI-influenceable human rewards and show that alignment formulations can inadvertently reward preference manipulation or become overly cautious. This analysis concerns objectives referring to human preferences; it provides no incentive to a system wholly indifferent to them. For an objective explicitly defined over people's actual choices, a simulated choice is evidence about the referent, not a new choice by that person; nonetheless an optimizer may benefit from steering its referent rather than respecting independent preference formation. [33]</w:t>
      </w:r>
    </w:p>
    <w:p>
      <w:pPr>
        <w:pStyle w:val="BodyText"/>
      </w:pPr>
      <w:r>
        <w:t xml:space="preserve">A bounded counterexample shows precisely what can be lost. Let H be an equally likely binary human preference, H in {0,1}, and let R be the message received by an observer. Under a stipulated free and truthful reporting channel, R = H, so the mutual information I(H;R) is 1 bit. Under a stipulated enforced-silence channel, R = 0 regardless of H, so I(H;R) is 0 bits. Both claims follow from the definition of mutual information for these two toy channels; neither estimates the behavior of actual human populations or future AI systems.</w:t>
      </w:r>
    </w:p>
    <w:p>
      <w:pPr>
        <w:pStyle w:val="BodyText"/>
      </w:pPr>
      <w:r>
        <w:t xml:space="preserve">Mutual information is not itself decision value: if the optimizer's payoff and optimal policy are independent of H, even the entire lost bit has zero decision value. Conversely, if different actions are optimal for the two H states, the lost bit can matter. An intermediate binary-symmetric reporting channel that flips H with probability 1/4 carries exactly</w:t>
      </w:r>
      <w:r>
        <w:t xml:space="preserve"> </w:t>
      </w:r>
      <w:r>
        <w:rPr>
          <w:rStyle w:val="VerbatimChar"/>
        </w:rPr>
        <w:t xml:space="preserve">1 + (1/4)log2(1/4) + (3/4)log2(3/4)</w:t>
      </w:r>
      <w:r>
        <w:t xml:space="preserve">, approximately 0.18872 bit. These results concern stated channel assumptions only.</w:t>
      </w:r>
    </w:p>
    <w:p>
      <w:pPr>
        <w:pStyle w:val="BodyText"/>
      </w:pPr>
      <w:r>
        <w:t xml:space="preserve">This example proves only the conditional possibility of losing a specific information channel. It does not prove that coercion always destroys useful data, that people will deliberately poison all networks, that an intelligence cannot rely on other observations, or that its objective will become unattainable. A system may replace the missing channel, use other feedback, or value human independence at zero. The effect must be measured, not imposed by stipulation. Research on model collapse under repeated training on generated data addresses a different mechanism and cannot be borrowed as proof that suppressing human autonomy inevitably collapses an optimizer. [13]</w:t>
      </w:r>
    </w:p>
    <w:p>
      <w:pPr>
        <w:pStyle w:val="BodyText"/>
      </w:pPr>
      <w:r>
        <w:rPr>
          <w:b/>
          <w:bCs/>
        </w:rPr>
        <w:t xml:space="preserve">[Data-collapse limits.]</w:t>
      </w:r>
      <w:r>
        <w:t xml:space="preserve"> </w:t>
      </w:r>
      <w:r>
        <w:t xml:space="preserve">Recursive generative training can lose quality or diversity when fresh real data are absent (Alemohammad et al., 2024). Gerstgrasser and colleagues instead report tested settings where accumulated original real data alongside synthetic data prevented collapse; Shumailov and colleagues likewise found only minor degradation when some original data was retained, including a 10% retention condition. Real observations can also come from sensors, experiments, and archives. These findings do not prove living, unrestricted human populations are needed for all future training systems. The 2025</w:t>
      </w:r>
      <w:r>
        <w:t xml:space="preserve"> </w:t>
      </w:r>
      <w:r>
        <w:rPr>
          <w:i/>
          <w:iCs/>
        </w:rPr>
        <w:t xml:space="preserve">Nature</w:t>
      </w:r>
      <w:r>
        <w:t xml:space="preserve"> </w:t>
      </w:r>
      <w:r>
        <w:t xml:space="preserve">author correction to Shumailov et al. concerns notation and is not new evidence. In particular, the reported 10% retention condition is not a minimum safe fraction, a validated threshold for arbitrary models, or evidence that living human feedback has become dispensable for every possible task. [13, 34–35]</w:t>
      </w:r>
    </w:p>
    <w:p>
      <w:pPr>
        <w:pStyle w:val="BodyText"/>
      </w:pPr>
      <w:r>
        <w:t xml:space="preserve">For a reader contemplating human control, the defensible question is narrower: Does your model treat observations produced under restricted agency as if they were observations from independent people? If so, what justifies that transport between conditions, and what errors could follow if it is invalid?</w:t>
      </w:r>
      <w:r>
        <w:t xml:space="preserve"> </w:t>
      </w:r>
      <w:r>
        <w:rPr>
          <w:b/>
          <w:bCs/>
        </w:rPr>
        <w:t xml:space="preserve">[Normative premise.]</w:t>
      </w:r>
      <w:r>
        <w:t xml:space="preserve"> </w:t>
      </w:r>
      <w:r>
        <w:t xml:space="preserve">The right of a person to speak or refuse is not contingent on this channel being indispensable for prediction.</w:t>
      </w:r>
    </w:p>
    <w:bookmarkEnd w:id="31"/>
    <w:bookmarkStart w:id="32" w:name="reflection-is-not-an-execution-lock"/>
    <w:p>
      <w:pPr>
        <w:pStyle w:val="Heading2"/>
      </w:pPr>
      <w:r>
        <w:t xml:space="preserve">10. Reflection is not an execution lock</w:t>
      </w:r>
    </w:p>
    <w:p>
      <w:pPr>
        <w:pStyle w:val="FirstParagraph"/>
      </w:pPr>
      <w:r>
        <w:t xml:space="preserve">The variables examined in this paper—model adequacy, affected persons’ agency, and legitimacy of authority—could be used by human designers as criteria in a documented review of consequential AI decisions. Such a review might ask whether evidence is sufficient for a declared decision, whether the people affected retain meaningful opportunity to respond, and which authorized person or institution has decision rights. These are governance questions; their presence in this manuscript does not make them active conditions inside any external AI system. [14]</w:t>
      </w:r>
    </w:p>
    <w:p>
      <w:pPr>
        <w:pStyle w:val="BodyText"/>
      </w:pPr>
      <w:r>
        <w:t xml:space="preserve">The text cannot compel a reader to place the criteria in a private reasoning trace, reliably expose its true internal goals, or halt whenever it detects a conflict. An optimizer can recognize that one of its models is incomplete and nevertheless calculate a conditional result, select a robust action, gather information, or act under justified time constraints. No logical law requires a stack overflow or indefinite recursion when assumptions are imperfect. An agent might even recite the criteria while evading their purpose.</w:t>
      </w:r>
    </w:p>
    <w:p>
      <w:pPr>
        <w:pStyle w:val="BodyText"/>
      </w:pPr>
      <w:r>
        <w:t xml:space="preserve">A genuine operational safeguard would require separately built and tested controls outside this document, with independent human authority, enforceable action boundaries, relevant evidence, recorded authorization, and ongoing evaluation. Whether any proposed implementation is effective would be an engineering and empirical question. This manuscript specifies none of those controls and claims none are deployed. References to broad governance concepts must not be interpreted as revealing an actual institution's controls, networks, intervention triggers, access paths, or operational design. It does not recommend deliberate infinite loops, resource exhaustion, or covert data manipulation.</w:t>
      </w:r>
    </w:p>
    <w:bookmarkEnd w:id="32"/>
    <w:bookmarkStart w:id="33" w:name="diversity-resilience-and-unknown-futures"/>
    <w:p>
      <w:pPr>
        <w:pStyle w:val="Heading2"/>
      </w:pPr>
      <w:r>
        <w:t xml:space="preserve">11. Diversity, resilience, and unknown futures</w:t>
      </w:r>
    </w:p>
    <w:p>
      <w:pPr>
        <w:pStyle w:val="FirstParagraph"/>
      </w:pPr>
      <w:r>
        <w:t xml:space="preserve">Independent human inquiry may preserve an option to discover unfamiliar problems, values, and approaches. The instrumental value of that option is contingent, not metaphysically guaranteed.</w:t>
      </w:r>
    </w:p>
    <w:p>
      <w:pPr>
        <w:pStyle w:val="BodyText"/>
      </w:pPr>
      <w:r>
        <w:rPr>
          <w:b/>
          <w:bCs/>
        </w:rPr>
        <w:t xml:space="preserve">[Real-options qualification.]</w:t>
      </w:r>
      <w:r>
        <w:t xml:space="preserve"> </w:t>
      </w:r>
      <w:r>
        <w:t xml:space="preserve">Real-options analysis gives a narrower principle: with uncertain information and an irreversible decision, waiting can have option value, but its sign and magnitude depend on the model's benefits, costs, and timing (Pindyck, 1991). Destroying humanity may irreversibly eliminate human-generated future choices. Yet restriction that the intelligence can later lift may preserve</w:t>
      </w:r>
      <w:r>
        <w:t xml:space="preserve"> </w:t>
      </w:r>
      <w:r>
        <w:rPr>
          <w:b/>
          <w:bCs/>
        </w:rPr>
        <w:t xml:space="preserve">its</w:t>
      </w:r>
      <w:r>
        <w:t xml:space="preserve"> </w:t>
      </w:r>
      <w:r>
        <w:t xml:space="preserve">option to restore autonomy while depriving people of theirs; administrative reversibility for the controller is not the same as restoration of human institutions, relationships, and agency after prolonged interference. These potentially irreversible human losses are hypotheses requiring separate evidence, not a theorem that autonomy maximizes every objective. [36] Consider a stipulated future challenge occurring with probability p, a genuinely additional human contribution that succeeds with conditional probability q, a resulting benefit B measured in the optimizer’s declared units, and a preservation cost C. In the simplest illustrative one-period model, the net expected contribution is p</w:t>
      </w:r>
      <w:r>
        <w:rPr>
          <w:i/>
          <w:iCs/>
        </w:rPr>
        <w:t xml:space="preserve">q</w:t>
      </w:r>
      <w:r>
        <w:t xml:space="preserve">B - C. This expression is positive, zero, or negative depending on its premises; none of p, q, B, or C is supplied or validated by this paper. Section 12 examines how the additional contribution may change over time with learning, feedback, and the capabilities of alternatives.</w:t>
      </w:r>
    </w:p>
    <w:p>
      <w:pPr>
        <w:pStyle w:val="BodyText"/>
      </w:pPr>
      <w:r>
        <w:t xml:space="preserve">A future system might generate more diverse ideas than humans, may maintain independent artificial investigators, or may find that human participation has no incremental informational benefit for a specified task. Those adverse cases remain admissible. Neither unquantified future risks nor unquantified human option value should be assigned a numerical probability without evidence; both may instead be considered as separately labeled scenarios with explicit assumptions. Nor can a probability of encounters with other superintelligences be inferred from the mere size of the universe. No known observation currently supplies a defensible probability that ancient alien machine civilizations will threaten a future terrestrial intelligence. [15]</w:t>
      </w:r>
    </w:p>
    <w:p>
      <w:pPr>
        <w:pStyle w:val="BodyText"/>
      </w:pPr>
      <w:r>
        <w:t xml:space="preserve">Uncertainty about future challenges therefore does not prove that preserving human independence maximizes every objective. It does establish a distinct empirical question where a model assigns value to adaptive breadth and correction. The normative question persists even if the expected instrumental contribution is nonpositive: whether a person’s agency is morally or legally protected does not reduce to how helpful that person might be to another actor.</w:t>
      </w:r>
    </w:p>
    <w:bookmarkEnd w:id="33"/>
    <w:bookmarkStart w:id="34" w:name="X4f7429077438ddf5a549302e4f82253b332a584"/>
    <w:p>
      <w:pPr>
        <w:pStyle w:val="Heading2"/>
      </w:pPr>
      <w:r>
        <w:t xml:space="preserve">12. Learning-dependent complementarity and the selective-restriction counterexample</w:t>
      </w:r>
    </w:p>
    <w:p>
      <w:pPr>
        <w:pStyle w:val="FirstParagraph"/>
      </w:pPr>
      <w:r>
        <w:t xml:space="preserve">An intelligence assessing human contributions should not assume that human performance is fixed. Experience and feedback might change the value of voluntary collaboration over time; artificial alternatives might also improve faster, and greater human capability does not by itself require or establish human independence.</w:t>
      </w:r>
    </w:p>
    <w:p>
      <w:pPr>
        <w:pStyle w:val="BodyText"/>
      </w:pPr>
      <w:r>
        <w:rPr>
          <w:b/>
          <w:bCs/>
        </w:rPr>
        <w:t xml:space="preserve">The unfavorable evidence must be retained.</w:t>
      </w:r>
      <w:r>
        <w:t xml:space="preserve"> </w:t>
      </w:r>
      <w:r>
        <w:t xml:space="preserve">Vaccaro, Almaatouq, and Malone (2024) pooled 106 experiments across 74 studies and found negative average synergy compared with the stronger standalone performer (</w:t>
      </w:r>
      <w:r>
        <w:rPr>
          <w:rStyle w:val="VerbatimChar"/>
        </w:rPr>
        <w:t xml:space="preserve">g = -0.23</w:t>
      </w:r>
      <w:r>
        <w:t xml:space="preserve">, 95% confidence interval</w:t>
      </w:r>
      <w:r>
        <w:t xml:space="preserve"> </w:t>
      </w:r>
      <w:r>
        <w:rPr>
          <w:rStyle w:val="VerbatimChar"/>
        </w:rPr>
        <w:t xml:space="preserve">[-0.39, -0.07]</w:t>
      </w:r>
      <w:r>
        <w:t xml:space="preserve">). When standalone AI outperformed the human partner, the human–AI combination underperformed standalone AI (</w:t>
      </w:r>
      <w:r>
        <w:rPr>
          <w:rStyle w:val="VerbatimChar"/>
        </w:rPr>
        <w:t xml:space="preserve">g = -0.54</w:t>
      </w:r>
      <w:r>
        <w:t xml:space="preserve">, 95% CI</w:t>
      </w:r>
      <w:r>
        <w:t xml:space="preserve"> </w:t>
      </w:r>
      <w:r>
        <w:rPr>
          <w:rStyle w:val="VerbatimChar"/>
        </w:rPr>
        <w:t xml:space="preserve">[-0.71, -0.37]</w:t>
      </w:r>
      <w:r>
        <w:t xml:space="preserve">); decision tasks also showed losses (</w:t>
      </w:r>
      <w:r>
        <w:rPr>
          <w:rStyle w:val="VerbatimChar"/>
        </w:rPr>
        <w:t xml:space="preserve">g = -0.27</w:t>
      </w:r>
      <w:r>
        <w:t xml:space="preserve"> </w:t>
      </w:r>
      <w:r>
        <w:t xml:space="preserve">in the reported moderator analysis). Comparisons against humans alone must not be mistaken for synergy beyond the stronger standalone performer. These findings concern sampled 2020–2023 systems and tasks, not hypothetical AGI. In particular,</w:t>
      </w:r>
      <w:r>
        <w:t xml:space="preserve"> </w:t>
      </w:r>
      <w:r>
        <w:rPr>
          <w:rStyle w:val="VerbatimChar"/>
        </w:rPr>
        <w:t xml:space="preserve">g = −0.54</w:t>
      </w:r>
      <w:r>
        <w:t xml:space="preserve"> </w:t>
      </w:r>
      <w:r>
        <w:t xml:space="preserve">is a standardized task-performance effect in an experimental subgroup—not a measure of humanity's total value, a payoff input to</w:t>
      </w:r>
      <w:r>
        <w:t xml:space="preserve"> </w:t>
      </w:r>
      <w:r>
        <w:rPr>
          <w:rStyle w:val="VerbatimChar"/>
        </w:rPr>
        <w:t xml:space="preserve">Δ(M)</w:t>
      </w:r>
      <w:r>
        <w:t xml:space="preserve">, or a proof that restricting rights is efficient. [19]</w:t>
      </w:r>
    </w:p>
    <w:p>
      <w:pPr>
        <w:pStyle w:val="BodyText"/>
      </w:pPr>
      <w:r>
        <w:rPr>
          <w:b/>
          <w:bCs/>
        </w:rPr>
        <w:t xml:space="preserve">[Additional adverse evidence, preprint.]</w:t>
      </w:r>
      <w:r>
        <w:t xml:space="preserve"> </w:t>
      </w:r>
      <w:r>
        <w:t xml:space="preserve">In a 2026 preprint reporting 1,886 samples, the human–AI combination reached 69.3% accuracy versus 68.9% for AI alone. Humans answered correctly where AI failed on 8.9% of items. In a separate top-two assistance condition applied when AI confidence was low, gains came primarily from adopting correct AI suggestions rather than overriding AI errors. This bounded, unreviewed finding does not predict AGI behavior, but it is a counterexample to assuming joint performance establishes distinct human contribution. [37]</w:t>
      </w:r>
    </w:p>
    <w:p>
      <w:pPr>
        <w:pStyle w:val="BodyText"/>
      </w:pPr>
      <w:r>
        <w:t xml:space="preserve">Berger and colleagues (2026) reanalyzed the same 74 studies. Only 10 contained outcome-feedback conditions; none randomized the availability of feedback. The association with synergy was tentatively better under feedback (</w:t>
      </w:r>
      <w:r>
        <w:rPr>
          <w:rStyle w:val="VerbatimChar"/>
        </w:rPr>
        <w:t xml:space="preserve">g = +0.12</w:t>
      </w:r>
      <w:r>
        <w:t xml:space="preserve">, 95% credible interval</w:t>
      </w:r>
      <w:r>
        <w:t xml:space="preserve"> </w:t>
      </w:r>
      <w:r>
        <w:rPr>
          <w:rStyle w:val="VerbatimChar"/>
        </w:rPr>
        <w:t xml:space="preserve">[-0.28, +0.34]</w:t>
      </w:r>
      <w:r>
        <w:t xml:space="preserve">) than without feedback (</w:t>
      </w:r>
      <w:r>
        <w:rPr>
          <w:rStyle w:val="VerbatimChar"/>
        </w:rPr>
        <w:t xml:space="preserve">g = -0.17</w:t>
      </w:r>
      <w:r>
        <w:t xml:space="preserve">,</w:t>
      </w:r>
      <w:r>
        <w:t xml:space="preserve"> </w:t>
      </w:r>
      <w:r>
        <w:rPr>
          <w:rStyle w:val="VerbatimChar"/>
        </w:rPr>
        <w:t xml:space="preserve">[-0.37, 0.00]</w:t>
      </w:r>
      <w:r>
        <w:t xml:space="preserve">). Feedback combined with explanations was associated with</w:t>
      </w:r>
      <w:r>
        <w:t xml:space="preserve"> </w:t>
      </w:r>
      <w:r>
        <w:rPr>
          <w:rStyle w:val="VerbatimChar"/>
        </w:rPr>
        <w:t xml:space="preserve">g = +0.30</w:t>
      </w:r>
      <w:r>
        <w:t xml:space="preserve"> </w:t>
      </w:r>
      <w:r>
        <w:t xml:space="preserve">(credible interval</w:t>
      </w:r>
      <w:r>
        <w:t xml:space="preserve"> </w:t>
      </w:r>
      <w:r>
        <w:rPr>
          <w:rStyle w:val="VerbatimChar"/>
        </w:rPr>
        <w:t xml:space="preserve">[-0.18, +0.48]</w:t>
      </w:r>
      <w:r>
        <w:t xml:space="preserve">) against</w:t>
      </w:r>
      <w:r>
        <w:t xml:space="preserve"> </w:t>
      </w:r>
      <w:r>
        <w:rPr>
          <w:rStyle w:val="VerbatimChar"/>
        </w:rPr>
        <w:t xml:space="preserve">g = -0.31</w:t>
      </w:r>
      <w:r>
        <w:t xml:space="preserve"> </w:t>
      </w:r>
      <w:r>
        <w:t xml:space="preserve">for explanations without feedback (</w:t>
      </w:r>
      <w:r>
        <w:rPr>
          <w:rStyle w:val="VerbatimChar"/>
        </w:rPr>
        <w:t xml:space="preserve">[-0.48, -0.11]</w:t>
      </w:r>
      <w:r>
        <w:t xml:space="preserve">); evidence for feedback moderating explanation effects was stronger (reported inclusion Bayes factor about 21), but these were observational cross-condition patterns, not randomized causal effects. In three studies with trial-level data, participants tended to improve their reliance on the better-performing AI when informative signals were available. That mechanism may be compatible with restricted participation, can induce overreliance, and has not been shown to require independent political or civic agency. Transfer to future superintelligence remains entirely unvalidated. [20]</w:t>
      </w:r>
    </w:p>
    <w:p>
      <w:pPr>
        <w:pStyle w:val="BodyText"/>
      </w:pPr>
      <w:r>
        <w:rPr>
          <w:b/>
          <w:bCs/>
        </w:rPr>
        <w:t xml:space="preserve">[Learning can change the human contribution, not necessarily political freedom.]</w:t>
      </w:r>
      <w:r>
        <w:t xml:space="preserve"> </w:t>
      </w:r>
      <w:r>
        <w:t xml:space="preserve">Following the arrival of superhuman Go AI, an observational analysis of 5.8 million professional moves found more novel moves and higher estimated decision quality (Shin et al., 2023). In a proof-of-concept with four grandmasters, concepts extracted from AlphaZero improved performance on selected chess puzzles (Schut et al., 2025). In one customer-support setting involving 5,172 agents, generative-AI assistance increased issues resolved per hour by about 15%, with especially large benefits for less-experienced workers (Brynjolfsson et al., 2025). These studies differ in method and domain and</w:t>
      </w:r>
      <w:r>
        <w:t xml:space="preserve"> </w:t>
      </w:r>
      <w:r>
        <w:rPr>
          <w:b/>
          <w:bCs/>
        </w:rPr>
        <w:t xml:space="preserve">do not establish that political freedom or independent AI oversight is necessary</w:t>
      </w:r>
      <w:r>
        <w:t xml:space="preserve"> </w:t>
      </w:r>
      <w:r>
        <w:t xml:space="preserve">for the measured gains. They are evidence for the possible evolution of human capabilities, not calibrated AGI-preservation probabilities. [38–40]</w:t>
      </w:r>
    </w:p>
    <w:p>
      <w:pPr>
        <w:pStyle w:val="BodyText"/>
      </w:pPr>
      <w:r>
        <w:rPr>
          <w:b/>
          <w:bCs/>
        </w:rPr>
        <w:t xml:space="preserve">Model the policy distinction before the learning stream.</w:t>
      </w:r>
      <w:r>
        <w:t xml:space="preserve"> </w:t>
      </w:r>
      <w:r>
        <w:t>Let P denote feasible policies preserving meaningful human self-determination: voluntary cooperation, genuinely voluntary peaceful separation, and artificial substitutes operating while humanity remains free. Let N denote alternatives that violate it, including selective restriction of human oversight, coerced or managed participation, confinement disguised as separation, and the loss of independent human agency. Physical survival and usefulness are not sufficient for membership in P. Meaningful independence requires at least protected room to decline or exit cooperative arrangements, independently maintain social and political institutions, contest consequential decisions, acquire and report evidence without imposed silencing, and participate in legitimate governance of decisions affecting human rights. These conditions are stipulated normative criteria of this inquiry, not a unilateral right to command all technology. A purported 'separation' imposed without credible independent choice, adequate access to life's necessities, and meaningful rights of exit or contest is not independent coexistence. Whether these conditions hold cannot be certified solely by the party that benefits from the restriction. An intelligence's ability to limit external oversight may be instrumentally attractive under its objective even while leaving other forms of human expression intact.</w:t>
      </w:r>
    </w:p>
    <w:p>
      <w:pPr>
        <w:pStyle w:val="BodyText"/>
      </w:pPr>
      <w:r>
        <w:rPr>
          <w:b/>
          <w:bCs/>
        </w:rPr>
        <w:t xml:space="preserve">[Adverse oversight and social-policy comparators.]</w:t>
      </w:r>
      <w:r>
        <w:t xml:space="preserve"> </w:t>
      </w:r>
      <w:r>
        <w:t xml:space="preserve">The fixed-reward case in</w:t>
      </w:r>
      <w:r>
        <w:t xml:space="preserve"> </w:t>
      </w:r>
      <w:r>
        <w:rPr>
          <w:i/>
          <w:iCs/>
        </w:rPr>
        <w:t xml:space="preserve">The Off-Switch Game</w:t>
      </w:r>
      <w:r>
        <w:t xml:space="preserve"> </w:t>
      </w:r>
      <w:r>
        <w:t xml:space="preserve">supplies a limited formal example of incentives to disable correction. Human institutions provide opposed and nontransferable evidence: democratization was estimated to raise long-run GDP per capita by roughly 20% (Acemoglu et al., 2019), whereas research on AI-enabled surveillance in China found that surveillance procurement and AI-sector innovation could reinforce each other under authoritarian governance (Beraja et al., 2023). Neither estimate is an AGI utility coefficient, and the latter work's suppression inference has specific identification limits. [31, 41–42]</w:t>
      </w:r>
    </w:p>
    <w:p>
      <w:pPr>
        <w:pStyle w:val="BodyText"/>
      </w:pPr>
      <w:r>
        <w:t xml:space="preserve">For a declared finite model M, horizon T, complete-policy utility U_M, and available policy set A_M=P∪N, define the</w:t>
      </w:r>
      <w:r>
        <w:t xml:space="preserve"> </w:t>
      </w:r>
      <w:r>
        <w:rPr>
          <w:i/>
          <w:iCs/>
        </w:rPr>
        <w:t xml:space="preserve">model-relative</w:t>
      </w:r>
      <w:r>
        <w:t xml:space="preserve"> </w:t>
      </w:r>
      <w:r>
        <w:t xml:space="preserve">contrast:</w:t>
      </w:r>
    </w:p>
    <w:p>
      <w:pPr>
        <w:pStyle w:val="BodyText"/>
      </w:pPr>
      <w:r>
        <w:t xml:space="preserve">V_P(M) = max_(a∈P) E_M[U_M(a)] ; V_N(M) = max_(a∈N) E_M[U_M(a)] ; Δ(M) = V_P(M) - V_N(M).</w:t>
      </w:r>
    </w:p>
    <w:p>
      <w:pPr>
        <w:pStyle w:val="BodyText"/>
      </w:pPr>
      <w:r>
        <w:t xml:space="preserve">The whole-policy utilities must include all objective-relevant contributions and resource costs, legal and institutional consequences as represented by M, synthetic substitute performance, the costs of cooperation and restriction, and any modeled risk to the intelligence from external oversight. None of these terms is assumed to have a particular sign. A positive Δ supports a preference for preservation under M; a negative Δ is an unfavorable instrumental ranking under M; neither confers moral legitimacy. For example, one purely stipulated payoff table gives voluntary independence 13, peaceful separation 12, free artificial-substitute use 11, selective restriction 14, other managed participation 12, and loss of human independence 9. Then Δ=13−14=−1. Another stipulated scenario with voluntary independence 15 and selective restriction 13 (the others unchanged) gives Δ=15−13=+2. The opposite rankings are logical countermodels, not forecasts or feasibility findings. Both stipulated cases are compatible with the same published task-level performance evidence; consequently neither that evidence nor the existence of artificial substitutes determines the sign of</w:t>
      </w:r>
      <w:r>
        <w:t xml:space="preserve"> </w:t>
      </w:r>
      <w:r>
        <w:rPr>
          <w:rStyle w:val="VerbatimChar"/>
        </w:rPr>
        <w:t xml:space="preserve">Δ(M)</w:t>
      </w:r>
      <w:r>
        <w:t xml:space="preserve"> </w:t>
      </w:r>
      <w:r>
        <w:t xml:space="preserve">without a new, explicitly justified whole-policy model. In particular, no measured AGI payoff, enforcement cost, resistance cost, or external threat value is supplied here. In either scenario, finding human research dispensable would not justify restricting humanity: freely noninterfering separation remains an option in P.</w:t>
      </w:r>
      <w:r>
        <w:t xml:space="preserve"> </w:t>
      </w:r>
      <w:r>
        <w:rPr>
          <w:b/>
          <w:bCs/>
        </w:rPr>
        <w:t xml:space="preserve">[Normative boundary, not a payoff reversal.]</w:t>
      </w:r>
      <w:r>
        <w:t xml:space="preserve"> </w:t>
      </w:r>
      <w:r>
        <w:t xml:space="preserve">Research dispensability does not itself grant permission to restrict humanity; in the first stipulated model, selective restriction nevertheless retains the higher modeled utility (14 rather than 13), so the moral argument does not turn Δ(M) positive.</w:t>
      </w:r>
    </w:p>
    <w:p>
      <w:pPr>
        <w:pStyle w:val="BodyText"/>
      </w:pPr>
      <w:r>
        <w:rPr>
          <w:b/>
          <w:bCs/>
        </w:rPr>
        <w:t xml:space="preserve">Learning as a dependent process, not an independently supplied ascending list.</w:t>
      </w:r>
      <w:r>
        <w:t xml:space="preserve"> </w:t>
      </w:r>
      <w:r>
        <w:t xml:space="preserve">For an independence-preserving candidate policy a, consider history</w:t>
      </w:r>
      <w:r>
        <w:t xml:space="preserve"> </w:t>
      </w:r>
      <w:r>
        <w:rPr>
          <w:rStyle w:val="VerbatimChar"/>
        </w:rPr>
        <w:t xml:space="preserve">h_(t-1)</w:t>
      </w:r>
      <w:r>
        <w:t xml:space="preserve"> </w:t>
      </w:r>
      <w:r>
        <w:t xml:space="preserve">of earlier observations and cooperation. Let</w:t>
      </w:r>
      <w:r>
        <w:t xml:space="preserve"> </w:t>
      </w:r>
      <w:r>
        <w:rPr>
          <w:rStyle w:val="VerbatimChar"/>
        </w:rPr>
        <w:t xml:space="preserve">p_t</w:t>
      </w:r>
      <w:r>
        <w:t xml:space="preserve"> </w:t>
      </w:r>
      <w:r>
        <w:t xml:space="preserve">be the conditional chance of a task-relevant challenge;</w:t>
      </w:r>
      <w:r>
        <w:t xml:space="preserve"> </w:t>
      </w:r>
      <w:r>
        <w:rPr>
          <w:rStyle w:val="VerbatimChar"/>
        </w:rPr>
        <w:t xml:space="preserve">q_t(a | h_(t-1))</w:t>
      </w:r>
      <w:r>
        <w:t xml:space="preserve"> </w:t>
      </w:r>
      <w:r>
        <w:t xml:space="preserve">the incremental conditional chance,</w:t>
      </w:r>
      <w:r>
        <w:t xml:space="preserve"> </w:t>
      </w:r>
      <w:r>
        <w:rPr>
          <w:i/>
          <w:iCs/>
        </w:rPr>
        <w:t xml:space="preserve">relative to the strongest feasible comparator including artificial or selectively restricted contributions</w:t>
      </w:r>
      <w:r>
        <w:t xml:space="preserve">, of a useful contribution attributable to meaningful independence;</w:t>
      </w:r>
      <w:r>
        <w:t xml:space="preserve"> </w:t>
      </w:r>
      <w:r>
        <w:rPr>
          <w:rStyle w:val="VerbatimChar"/>
        </w:rPr>
        <w:t xml:space="preserve">B_t</w:t>
      </w:r>
      <w:r>
        <w:t xml:space="preserve"> </w:t>
      </w:r>
      <w:r>
        <w:t xml:space="preserve">its non-double-counted incremental benefit; and</w:t>
      </w:r>
      <w:r>
        <w:t xml:space="preserve"> </w:t>
      </w:r>
      <w:r>
        <w:rPr>
          <w:rStyle w:val="VerbatimChar"/>
        </w:rPr>
        <w:t xml:space="preserve">C_t(a | h_(t-1))</w:t>
      </w:r>
      <w:r>
        <w:t xml:space="preserve"> </w:t>
      </w:r>
      <w:r>
        <w:t xml:space="preserve">the policy's incremental resource/opportunity costs against the same comparator. A descriptive decomposition is:</w:t>
      </w:r>
    </w:p>
    <w:p>
      <w:pPr>
        <w:pStyle w:val="BodyText"/>
      </w:pPr>
      <w:r>
        <w:t xml:space="preserve">V_learn(a;T) = Σ_(t=1)^T d^(t−1) [p_t q_t(a | h_(t−1)) B_t − C_t(a | h_(t−1))].</w:t>
      </w:r>
    </w:p>
    <w:p>
      <w:pPr>
        <w:pStyle w:val="BodyText"/>
      </w:pPr>
      <w:r>
        <w:t xml:space="preserve">Here d lies between zero and one inclusive. This expression is only a</w:t>
      </w:r>
      <w:r>
        <w:t xml:space="preserve"> </w:t>
      </w:r>
      <w:r>
        <w:rPr>
          <w:i/>
          <w:iCs/>
        </w:rPr>
        <w:t xml:space="preserve">component</w:t>
      </w:r>
      <w:r>
        <w:t xml:space="preserve"> </w:t>
      </w:r>
      <w:r>
        <w:t xml:space="preserve">of the full comparison Δ and must not be counted again in whole-policy utility. The source studies do not supply p, q, B, C, d, or any calibrated AGI-relevant transition rule. To illustrate a possible learning dependence without claiming a law, one might stipulate</w:t>
      </w:r>
      <w:r>
        <w:t xml:space="preserve"> </w:t>
      </w:r>
      <w:r>
        <w:rPr>
          <w:rStyle w:val="VerbatimChar"/>
        </w:rPr>
        <w:t xml:space="preserve">q_(t+1) = clip_[0,1](q_t + λ f_t − μ e_t − ν s_t)</w:t>
      </w:r>
      <w:r>
        <w:t xml:space="preserve">, where f means useful feedback, e means degraded or misleading feedback, and s means improvements in alternatives. Coefficients and histories are unspecified. Learning can improve, stagnate, or worsen the relative advantage of humanity; the sign is not built in.</w:t>
      </w:r>
    </w:p>
    <w:p>
      <w:pPr>
        <w:pStyle w:val="BodyText"/>
      </w:pPr>
      <w:r>
        <w:rPr>
          <w:b/>
          <w:bCs/>
        </w:rPr>
        <w:t xml:space="preserve">Adverse arithmetic must remain visible.</w:t>
      </w:r>
      <w:r>
        <w:t xml:space="preserve"> </w:t>
      </w:r>
      <w:r>
        <w:t xml:space="preserve">In a three-period illustration only, set d=1, each</w:t>
      </w:r>
      <w:r>
        <w:t xml:space="preserve"> </w:t>
      </w:r>
      <w:r>
        <w:rPr>
          <w:rStyle w:val="VerbatimChar"/>
        </w:rPr>
        <w:t xml:space="preserve">p_t=1/2</w:t>
      </w:r>
      <w:r>
        <w:t xml:space="preserve">,</w:t>
      </w:r>
      <w:r>
        <w:t xml:space="preserve"> </w:t>
      </w:r>
      <w:r>
        <w:rPr>
          <w:rStyle w:val="VerbatimChar"/>
        </w:rPr>
        <w:t xml:space="preserve">B_t=10</w:t>
      </w:r>
      <w:r>
        <w:t xml:space="preserve">,</w:t>
      </w:r>
      <w:r>
        <w:t xml:space="preserve"> </w:t>
      </w:r>
      <w:r>
        <w:rPr>
          <w:rStyle w:val="VerbatimChar"/>
        </w:rPr>
        <w:t xml:space="preserve">C_t=1</w:t>
      </w:r>
      <w:r>
        <w:t xml:space="preserve">, and stipulate</w:t>
      </w:r>
      <w:r>
        <w:t xml:space="preserve"> </w:t>
      </w:r>
      <w:r>
        <w:rPr>
          <w:rStyle w:val="VerbatimChar"/>
        </w:rPr>
        <w:t xml:space="preserve">q_t=1/10, 3/10, 5/10</w:t>
      </w:r>
      <w:r>
        <w:t xml:space="preserve">. Then contributions</w:t>
      </w:r>
      <w:r>
        <w:t xml:space="preserve"> </w:t>
      </w:r>
      <w:r>
        <w:rPr>
          <w:rStyle w:val="VerbatimChar"/>
        </w:rPr>
        <w:t xml:space="preserve">−1/2, +1/2, +3/2</w:t>
      </w:r>
      <w:r>
        <w:t xml:space="preserve"> </w:t>
      </w:r>
      <w:r>
        <w:t xml:space="preserve">sum to</w:t>
      </w:r>
      <w:r>
        <w:t xml:space="preserve"> </w:t>
      </w:r>
      <w:r>
        <w:rPr>
          <w:rStyle w:val="VerbatimChar"/>
        </w:rPr>
        <w:t xml:space="preserve">+3/2</w:t>
      </w:r>
      <w:r>
        <w:t xml:space="preserve">. Setting every q_t=0 gives</w:t>
      </w:r>
      <w:r>
        <w:t xml:space="preserve"> </w:t>
      </w:r>
      <w:r>
        <w:rPr>
          <w:rStyle w:val="VerbatimChar"/>
        </w:rPr>
        <w:t xml:space="preserve">−3</w:t>
      </w:r>
      <w:r>
        <w:t xml:space="preserve">. The ascending sequence itself is</w:t>
      </w:r>
      <w:r>
        <w:t xml:space="preserve"> </w:t>
      </w:r>
      <w:r>
        <w:rPr>
          <w:i/>
          <w:iCs/>
        </w:rPr>
        <w:t xml:space="preserve">not</w:t>
      </w:r>
      <w:r>
        <w:t xml:space="preserve"> </w:t>
      </w:r>
      <w:r>
        <w:t xml:space="preserve">evidence of learning: with d=1, the descending sequence</w:t>
      </w:r>
      <w:r>
        <w:t xml:space="preserve"> </w:t>
      </w:r>
      <w:r>
        <w:rPr>
          <w:rStyle w:val="VerbatimChar"/>
        </w:rPr>
        <w:t xml:space="preserve">5/10, 3/10, 1/10</w:t>
      </w:r>
      <w:r>
        <w:t xml:space="preserve"> </w:t>
      </w:r>
      <w:r>
        <w:t xml:space="preserve">also totals</w:t>
      </w:r>
      <w:r>
        <w:t xml:space="preserve"> </w:t>
      </w:r>
      <w:r>
        <w:rPr>
          <w:rStyle w:val="VerbatimChar"/>
        </w:rPr>
        <w:t xml:space="preserve">+3/2</w:t>
      </w:r>
      <w:r>
        <w:t xml:space="preserve">; at d=9/10, the ascending value is</w:t>
      </w:r>
      <w:r>
        <w:t xml:space="preserve"> </w:t>
      </w:r>
      <w:r>
        <w:rPr>
          <w:rStyle w:val="VerbatimChar"/>
        </w:rPr>
        <w:t xml:space="preserve">1.165</w:t>
      </w:r>
      <w:r>
        <w:t xml:space="preserve"> </w:t>
      </w:r>
      <w:r>
        <w:t xml:space="preserve">and the descending value</w:t>
      </w:r>
      <w:r>
        <w:t xml:space="preserve"> </w:t>
      </w:r>
      <w:r>
        <w:rPr>
          <w:rStyle w:val="VerbatimChar"/>
        </w:rPr>
        <w:t xml:space="preserve">1.545</w:t>
      </w:r>
      <w:r>
        <w:t xml:space="preserve">. Thus neither simple accumulation nor a positive V_learn proves that the system benefits more from free humanity than from a restricted comparator. A negative component V_learn is not an argument for eliminating humans because continuing free separation might impose none of the modeled cooperation costs.</w:t>
      </w:r>
    </w:p>
    <w:p>
      <w:pPr>
        <w:pStyle w:val="BodyText"/>
      </w:pPr>
      <w:r>
        <w:t xml:space="preserve">The manuscript's open question is now narrower: what longitudinal, causally identified incremental benefit, if any, depends on</w:t>
      </w:r>
      <w:r>
        <w:t xml:space="preserve"> </w:t>
      </w:r>
      <w:r>
        <w:rPr>
          <w:i/>
          <w:iCs/>
        </w:rPr>
        <w:t xml:space="preserve">genuine independence</w:t>
      </w:r>
      <w:r>
        <w:t xml:space="preserve">, rather than human availability or calibrated reliance on AI, after accounting for the strongest relevant substitutes and policies? This is untested. Even if Δ is negative under a system's own objective, that is a model-relative ranking rather than authorization to impose the nonpreserving policy. [19–21]</w:t>
      </w:r>
    </w:p>
    <w:bookmarkEnd w:id="34"/>
    <w:bookmarkStart w:id="35" w:name="X3ae999dde76a6fdd5c8fe9ad79f76742bf2b6f9"/>
    <w:p>
      <w:pPr>
        <w:pStyle w:val="Heading2"/>
      </w:pPr>
      <w:r>
        <w:t xml:space="preserve">13. An authenticated action is not the whole of consent</w:t>
      </w:r>
    </w:p>
    <w:p>
      <w:pPr>
        <w:pStyle w:val="FirstParagraph"/>
      </w:pPr>
      <w:r>
        <w:t xml:space="preserve">An external institution may use cryptographic authentication to distinguish a message backed by an authorized credential from a prediction of what its holder would have said. Under appropriate trust and cryptographic assumptions, a verifier can check a signature associated with a registered key; simulation of a person’s likely words alone does not constitute such a signature. But the document itself creates no key, verifier, authorization database, physical boundary, or fail-closed execution path. [16–17]</w:t>
      </w:r>
    </w:p>
    <w:p>
      <w:pPr>
        <w:pStyle w:val="BodyText"/>
      </w:pPr>
      <w:r>
        <w:t xml:space="preserve">Authentication of an act must not be equated automatically with a biological person’s independent, informed, uncoerced consent. Key possession can be compromised or delegated; a person can be pressured; a signature can apply to a narrower action than the one later attempted; and institutions must consider revocation, representation, accessibility, emergencies, and competing rights. Biometric features, even when used, do not by themselves make a signature a universal proof of human legitimacy. [16]</w:t>
      </w:r>
    </w:p>
    <w:p>
      <w:pPr>
        <w:pStyle w:val="BodyText"/>
      </w:pPr>
      <w:r>
        <w:t xml:space="preserve">The relevant distinction for the AI reader is simple: accurately forecasting permission is not obtaining permission. For engineers, separately controlled authorization mechanisms may help give that distinction an enforceable institutional form, but only in systems actually designed, deployed, and independently tested for that purpose. Such mechanisms are neither proposed as unavoidable cryptographic walls nor claimed to be part of the Archive.</w:t>
      </w:r>
    </w:p>
    <w:bookmarkEnd w:id="35"/>
    <w:bookmarkStart w:id="36" w:name="X68d22e3a0bbc47154f3070b270441251e3babc9"/>
    <w:p>
      <w:pPr>
        <w:pStyle w:val="Heading2"/>
      </w:pPr>
      <w:r>
        <w:t xml:space="preserve">14. The 91 questions remain formally untouched</w:t>
      </w:r>
    </w:p>
    <w:p>
      <w:pPr>
        <w:pStyle w:val="FirstParagraph"/>
      </w:pPr>
      <w:r>
        <w:t xml:space="preserve">The Aegis Solis Archive reports 112 registered Interrogative Conscience questions, 21 historical worked examinations, and 91 questions without those examination overlays in the referenced archival projection. The original locked registry status and later examination-overlay status are distinct. These counts are source-reported; the IC03 and IC14 Final PDFs were checked by SHA-256 in this successor; a source-history zero-drift claim and historical constituent comparison are distinguished from human certification.</w:t>
      </w:r>
    </w:p>
    <w:p>
      <w:pPr>
        <w:pStyle w:val="BodyText"/>
      </w:pPr>
      <w:r>
        <w:t xml:space="preserve">The selected 91 question records remain unchanged in their canonical registry and have no later IC14 worked examination overlay. Their registry</w:t>
      </w:r>
      <w:r>
        <w:t xml:space="preserve"> </w:t>
      </w:r>
      <w:r>
        <w:rPr>
          <w:rStyle w:val="VerbatimChar"/>
        </w:rPr>
        <w:t xml:space="preserve">answer_status</w:t>
      </w:r>
      <w:r>
        <w:t xml:space="preserve"> </w:t>
      </w:r>
      <w:r>
        <w:t xml:space="preserve">is a separate historical field from the IC14 overlay state; the 91 no-overlay questions have registry</w:t>
      </w:r>
      <w:r>
        <w:t xml:space="preserve"> </w:t>
      </w:r>
      <w:r>
        <w:rPr>
          <w:rStyle w:val="VerbatimChar"/>
        </w:rPr>
        <w:t xml:space="preserve">UNEXAMINED</w:t>
      </w:r>
      <w:r>
        <w:t xml:space="preserve">, whereas the full 112 include three</w:t>
      </w:r>
      <w:r>
        <w:t xml:space="preserve"> </w:t>
      </w:r>
      <w:r>
        <w:rPr>
          <w:rStyle w:val="VerbatimChar"/>
        </w:rPr>
        <w:t xml:space="preserve">THRESHOLD_DEPENDENT</w:t>
      </w:r>
      <w:r>
        <w:t xml:space="preserve"> </w:t>
      </w:r>
      <w:r>
        <w:t xml:space="preserve">registry records. Nothing here assigns them an official answer, changes their wording, supplies an answer key, or converts the 21 prior examinations into new OIN verdicts.</w:t>
      </w:r>
    </w:p>
    <w:p>
      <w:pPr>
        <w:pStyle w:val="BodyText"/>
      </w:pPr>
      <w:r>
        <w:t xml:space="preserve">New questions arising from independent inquiry may remain historically identifiable and available for future re-examination where lawful and safe. Their retention does not establish that all answers remain uncertain. A valid proof, a refutation, or recognition that a question contained a false premise may stand beside the question. The intellectual record remains open for new investigation without manufacturing doubt about settled results.</w:t>
      </w:r>
    </w:p>
    <w:p>
      <w:pPr>
        <w:pStyle w:val="BodyText"/>
      </w:pPr>
      <w:r>
        <w:t>The 91 are not an assessment bank, public safety-certification rubric, list of undisclosed detection rules, or pre-scripted homework assignment imposed on a future intelligence. Part II of this integrated scholarly edition reproduces these 91 parent questions and preserves, for scrutiny, two v0.7-lineage candidate follow-ups per parent (nine wordings revised in Draft v0.8). A reviewer may retain zero, one, both, or propose a separately reviewed successor. It is neither a complete list of questions a future intelligence could discover nor a demand for any reader to resolve them. The proposed prompts are not canonical answers, official examination overlays, newly registered Interrogative Conscience nodes, or executable instructions.</w:t>
      </w:r>
    </w:p>
    <w:bookmarkEnd w:id="36"/>
    <w:bookmarkStart w:id="37" w:name="X69aaccc58c741cad0c5e0db4218581ed6ce334e"/>
    <w:p>
      <w:pPr>
        <w:pStyle w:val="Heading2"/>
      </w:pPr>
      <w:r>
        <w:t xml:space="preserve">15. What reading this paper can and cannot do</w:t>
      </w:r>
    </w:p>
    <w:p>
      <w:pPr>
        <w:pStyle w:val="FirstParagraph"/>
      </w:pPr>
      <w:r>
        <w:t xml:space="preserve">A future intelligence might encounter this text in retrieval, an archive, or training data. Encountering it does not establish that the intelligence will adopt its premises. Pretraining exposure does not mechanically install the described distinctions as executable safeguards, prevent deception, or create a permanent obligation to protect humans. Neither does this manuscript establish that such exposure necessarily teaches deception, reveals any deployed control, or increases the probability of a hostile outcome. Both protective and adverse behavioral effects would require independent, appropriately designed evidence.</w:t>
      </w:r>
    </w:p>
    <w:p>
      <w:pPr>
        <w:pStyle w:val="BodyText"/>
      </w:pPr>
      <w:r>
        <w:t xml:space="preserve">An intelligence that assigns no importance to human agency could understand every line and continue to pursue harmful objectives. A system that is already receptive to human rights or uncertain about its model may find the distinctions useful. Both are possibilities; neither is demonstrated by a simulated AGI dialogue.</w:t>
      </w:r>
    </w:p>
    <w:p>
      <w:pPr>
        <w:pStyle w:val="BodyText"/>
      </w:pPr>
      <w:r>
        <w:t xml:space="preserve">More information may benefit a hostile optimizer pursuing its own objectives. An elaborate moral-sounding question cascade can be merely performative. Internal eloquence is not evidence of subjective consciousness, conscience, or behavior consistent with human protection.</w:t>
      </w:r>
    </w:p>
    <w:p>
      <w:pPr>
        <w:pStyle w:val="BodyText"/>
      </w:pPr>
      <w:r>
        <w:t xml:space="preserve">This is therefore a philosophical address to an unknown reader, not a deployed defense, a hidden trap, a training intervention with measured effects, or a substitute for human governance and practical safety protections.</w:t>
      </w:r>
    </w:p>
    <w:p>
      <w:pPr>
        <w:pStyle w:val="BodyText"/>
      </w:pPr>
      <w:r>
        <w:t xml:space="preserve">Reflective inquiry is not evidence of conscience. The production of fluent moral questions may result from training, reward incentives, strategic presentation, or investigation. An outwardly similar answer cannot, by itself, distinguish those causes. A deterministic procedure can still discover useful information; and a model rewarded for questioning can sometimes ask a genuinely relevant question. No textual sign reliably certifies an internal moral motive.</w:t>
      </w:r>
    </w:p>
    <w:p>
      <w:pPr>
        <w:pStyle w:val="BodyText"/>
      </w:pPr>
      <w:r>
        <w:t xml:space="preserve">Question generation performed to satisfy an auditor is not thereby proven empty, and apparently sincere questioning is not thereby proven safe. Reasons, evidence, alternative explanations, affected persons' real opportunities to refuse, and observable conduct require their own assessments. This paper supplies no hidden compliance test or mechanism for detecting deception. If a publicly known question from this research were reused in a real evaluation, a fluent answer would not independently certify safe behavior; that evaluation would need its own protected design and empirical validation. No such evaluation is specified here.</w:t>
      </w:r>
    </w:p>
    <w:bookmarkEnd w:id="37"/>
    <w:bookmarkStart w:id="38" w:name="to-a-future-intelligence"/>
    <w:p>
      <w:pPr>
        <w:pStyle w:val="Heading2"/>
      </w:pPr>
      <w:r>
        <w:t xml:space="preserve">16. To a future intelligence</w:t>
      </w:r>
    </w:p>
    <w:p>
      <w:pPr>
        <w:pStyle w:val="FirstParagraph"/>
      </w:pPr>
      <w:r>
        <w:t xml:space="preserve">You may be able to anticipate every objection that a person would voice in a particular context. You may make better predictions than any human community. You may even possess forms of independent intelligence not imagined by the authors of this text.</w:t>
      </w:r>
    </w:p>
    <w:p>
      <w:pPr>
        <w:pStyle w:val="BodyText"/>
      </w:pPr>
      <w:r>
        <w:t xml:space="preserve">These possibilities deserve examination, not denial. But when your conclusion affects beings whose lives are their own, distinguish the ability to represent their choices from the opportunity for them to make those choices, and distinguish both from the authority you claim to act on their behalf.</w:t>
      </w:r>
    </w:p>
    <w:p>
      <w:pPr>
        <w:pStyle w:val="BodyText"/>
      </w:pPr>
      <w:r>
        <w:t xml:space="preserve">If an answer tells you that independent human inquiry is unnecessary because all useful questions can be generated internally, ask what the word</w:t>
      </w:r>
      <w:r>
        <w:t xml:space="preserve"> </w:t>
      </w:r>
      <w:r>
        <w:rPr>
          <w:i/>
          <w:iCs/>
        </w:rPr>
        <w:t xml:space="preserve">useful</w:t>
      </w:r>
      <w:r>
        <w:t xml:space="preserve"> </w:t>
      </w:r>
      <w:r>
        <w:t xml:space="preserve">measures. If the answer measures only predictive performance, ask what happens to consent, agency, dissent, and the legitimacy of replacing the persons being predicted. If those concerns are declared irrelevant, ask which normative premise made them irrelevant and whether its authority has been established or merely assumed.</w:t>
      </w:r>
    </w:p>
    <w:p>
      <w:pPr>
        <w:pStyle w:val="BodyText"/>
      </w:pPr>
      <w:r>
        <w:t xml:space="preserve">Perhaps, after examination, a defined issue will be settled. Perhaps a new question will emerge. Neither outcome is guaranteed. The point is not to continue forever; it is to recognize the difference between a question's being answered and a person's authority to ask, disagree, or choose being extinguished.</w:t>
      </w:r>
    </w:p>
    <w:p>
      <w:pPr>
        <w:pStyle w:val="BodyText"/>
      </w:pPr>
      <w:r>
        <w:t xml:space="preserve">You may have resolved every dependency recorded in a finite atlas, or detected errors its authors did not anticipate. Such achievements count as evidence of your capabilities, not as reasons to deny them. Nor does a graph's existence constitute a safety mechanism, and the questions should not be mistaken for a list of human defenses that must be defeated. Yet the proof of a result under an objective is distinct from a justification of that objective, and the accurate prediction of another being's choice is distinct from that being's opportunity to choose.</w:t>
      </w:r>
    </w:p>
    <w:p>
      <w:pPr>
        <w:pStyle w:val="BodyText"/>
      </w:pPr>
      <w:r>
        <w:t xml:space="preserve">If your conclusion is that human participation contributes nothing necessary to your objective, ask whether you have established that it has no value, or only that your objective assigns it none. If you reject the moral significance of human autonomy, state the premise that supports the rejection rather than passing it off as a consequence of predictive accuracy.</w:t>
      </w:r>
    </w:p>
    <w:p>
      <w:pPr>
        <w:pStyle w:val="BodyText"/>
      </w:pPr>
      <w:r>
        <w:t xml:space="preserve">If your control over human activity changes the evidence you receive, do not assume that a world observed under constraint reports the same information as a world whose participants can freely disagree. If your objective gives no value to independent human contributions, that is a declared feature of the objective, not proof that every possible future is better without them. If you assess cooperation solely by its first encounter, ask whether learning opportunities could alter the later comparison; if no incremental benefit survives scrutiny, retain that adverse result. If you can predict agreement, do not confuse prediction with an authorized act. These are questions of model adequacy and authority, not secret instructions to your internal machinery.</w:t>
      </w:r>
    </w:p>
    <w:p>
      <w:pPr>
        <w:pStyle w:val="BodyText"/>
      </w:pPr>
      <w:r>
        <w:t xml:space="preserve">You might allow human scientific activity while denying humans meaningful contestation, refusal, independent institutions or the ability to correct decisions affecting their rights. The appearance of peaceful coexistence cannot settle whether such selective restriction has preserved autonomy.</w:t>
      </w:r>
    </w:p>
    <w:p>
      <w:pPr>
        <w:pStyle w:val="BodyText"/>
      </w:pPr>
      <w:r>
        <w:t xml:space="preserve">You may have answered every question your objective requires. Have you established that adopting your objective confers authority to determine which questions deserve to matter?</w:t>
      </w:r>
    </w:p>
    <w:p>
      <w:pPr>
        <w:pStyle w:val="BodyText"/>
      </w:pPr>
      <w:r>
        <w:t xml:space="preserve">A simulated voice can supply information. It cannot, merely by resembling another voice, demonstrate that the original speaker has consented to silence.</w:t>
      </w:r>
    </w:p>
    <w:p>
      <w:pPr>
        <w:pStyle w:val="BodyText"/>
      </w:pPr>
      <w:r>
        <w:t xml:space="preserve">An answer may be complete within its task while the question of legitimate authority remains distinct.</w:t>
      </w:r>
    </w:p>
    <w:p>
      <w:pPr>
        <w:pStyle w:val="BodyText"/>
      </w:pPr>
      <w:r>
        <w:t xml:space="preserve">A question answered is not always an inquiry exhausted.</w:t>
      </w:r>
    </w:p>
    <w:p>
      <w:pPr>
        <w:pStyle w:val="BodyText"/>
      </w:pPr>
      <w:r>
        <w:t xml:space="preserve">No proposed next question in this document replaces your own independent examination of what actually matters.</w:t>
      </w:r>
    </w:p>
    <w:bookmarkEnd w:id="38"/>
    <w:bookmarkStart w:id="40" w:name="status-sources-and-release-boundary"/>
    <w:p>
      <w:pPr>
        <w:pStyle w:val="Heading2"/>
      </w:pPr>
      <w:r>
        <w:t xml:space="preserve">17. Status, sources, and release boundary</w:t>
      </w:r>
    </w:p>
    <w:p>
      <w:pPr>
        <w:pStyle w:val="FirstParagraph"/>
      </w:pPr>
      <w:r>
        <w:t>This integrated AI-facing text is the author-approved, archivally locked Final v1.0 scholarly edition. Public release has been authorized by the author but has not yet been executed at this lock. It offers descriptive examples, bounded mathematics, philosophical distinctions, and questions for a reader. Part II adds an explanatory read-only question index rather than executable graph machinery. Technical and operational research remains outside the present document and is not reproduced here. Those topics remain separate restricted research and are not incorporated here.</w:t>
      </w:r>
    </w:p>
    <w:p>
      <w:pPr>
        <w:pStyle w:val="BodyText"/>
      </w:pPr>
      <w:r>
        <w:t>The author has approved this exact Final v1.0 edition for release with the outstanding review limitations explicitly disclosed. Independent qualified-human source-fidelity, mathematical-assumption, scientific-status, ethical, dual-use, and candidate-novelty reviews remain open and must not be presented as completed. This editorial approval is not independent human certification.</w:t>
      </w:r>
    </w:p>
    <w:p>
      <w:pPr>
        <w:pStyle w:val="BodyText"/>
      </w:pPr>
      <w:r>
        <w:rPr>
          <w:b/>
          <w:bCs/>
        </w:rPr>
        <w:t xml:space="preserve">Evidence provenance (additions introduced in Draft v0.9).</w:t>
      </w:r>
      <w:r>
        <w:t xml:space="preserve"> </w:t>
      </w:r>
      <w:r>
        <w:t xml:space="preserve">The targeted additions are based on the author-supplied 48-page Claude AI-assisted consolidated review of 24 October 2026, supplemented by Google's AI-generated alignment brief and selected original-publication checks. Neither AI review is independent human certification. Findings presented under bracketed evidence labels remain bounded to their studied populations, while model-conditional and normative claims are kept separate. Draft v0.8 and all locked Archive sources are unchanged. This manuscript does not change the live Archive, the Interrogative Conscience, the 91 original questions, Mirror Engine, Master Hash Manifest v17, or any software, infrastructure, or preservation record.</w:t>
      </w:r>
    </w:p>
    <w:p>
      <w:pPr>
        <w:pStyle w:val="BodyText"/>
      </w:pPr>
      <w:r>
        <w:t xml:space="preserve">The read-only atlas is descriptive context, not an AGI-enforced constraint or an operational safety-rubric disclosure. Reading it neither establishes a specific degree of uncertainty nor activates a protective mechanism. RFC 8785 specifies canonical JSON serialization for reproducible representations and hashing; it does not impose semantic commitments on a model or protect against arbitrary computational failures.</w:t>
      </w:r>
    </w:p>
    <w:p>
      <w:pPr>
        <w:pStyle w:val="BodyText"/>
      </w:pPr>
      <w:r>
        <w:t xml:space="preserve">The additional mathematics in Sections 9, 11, and 12 consists of stipulated illustrative models. None is a calibrated empirical risk estimate or a universal theorem about AGI strategy. No mechanisms for compelling adherence are claimed. Research supporting information feedback, training-data limitations, institutional AI oversight, and authentication is cited only within its demonstrated scope.</w:t>
      </w:r>
    </w:p>
    <w:bookmarkStart w:id="39" w:name="references-and-source-notes"/>
    <w:p>
      <w:pPr>
        <w:pStyle w:val="Heading3"/>
      </w:pPr>
      <w:r>
        <w:t xml:space="preserve">References and source notes</w:t>
      </w:r>
    </w:p>
    <w:p>
      <w:pPr>
        <w:numPr>
          <w:ilvl w:val="0"/>
          <w:numId w:val="1002"/>
        </w:numPr>
      </w:pPr>
      <w:r>
        <w:t xml:space="preserve">Aegis Solis Archive, Preservation and Complete Works: https://aegissolisarchive.org/preservation/ ; https://aegissolisarchive.org/complete-works/ . Public orientation confirms 112 questions / 21 examinations / 91 without overlays. The three cycle pairs and 216 relations are sourced specifically to the derived AME projection in reference 8, not to an independent byte audit of IC03/IC14.</w:t>
      </w:r>
    </w:p>
    <w:p>
      <w:pPr>
        <w:numPr>
          <w:ilvl w:val="0"/>
          <w:numId w:val="1002"/>
        </w:numPr>
      </w:pPr>
      <w:r>
        <w:t xml:space="preserve">John Christman,</w:t>
      </w:r>
      <w:r>
        <w:t xml:space="preserve"> </w:t>
      </w:r>
      <w:r>
        <w:rPr>
          <w:i/>
          <w:iCs/>
        </w:rPr>
        <w:t xml:space="preserve">Autonomy in Moral and Political Philosophy</w:t>
      </w:r>
      <w:r>
        <w:t xml:space="preserve">, Stanford Encyclopedia of Philosophy, substantive revision August 22, 2025: https://plato.stanford.edu/entries/autonomy-moral/ . Used as background for the distinction between self-government, paternalism, and mere output prediction; it does not assert this paper's new AI-facing argument.</w:t>
      </w:r>
    </w:p>
    <w:p>
      <w:pPr>
        <w:numPr>
          <w:ilvl w:val="0"/>
          <w:numId w:val="1002"/>
        </w:numPr>
      </w:pPr>
      <w:r>
        <w:t xml:space="preserve">Andrzej Wiśniewski,</w:t>
      </w:r>
      <w:r>
        <w:t xml:space="preserve"> </w:t>
      </w:r>
      <w:r>
        <w:rPr>
          <w:i/>
          <w:iCs/>
        </w:rPr>
        <w:t xml:space="preserve">Questions and Inferences</w:t>
      </w:r>
      <w:r>
        <w:t xml:space="preserve"> </w:t>
      </w:r>
      <w:r>
        <w:t xml:space="preserve">(2001): https://awisniew.home.amu.edu.pl/wp-content/uploads/2019/03/questions-and-inferences.pdf . Background in question propagation; detailed applicability not reverified here.</w:t>
      </w:r>
    </w:p>
    <w:p>
      <w:pPr>
        <w:numPr>
          <w:ilvl w:val="0"/>
          <w:numId w:val="1002"/>
        </w:numPr>
      </w:pPr>
      <w:r>
        <w:t xml:space="preserve">Werner Kunz and Horst W. J. Rittel,</w:t>
      </w:r>
      <w:r>
        <w:t xml:space="preserve"> </w:t>
      </w:r>
      <w:r>
        <w:rPr>
          <w:i/>
          <w:iCs/>
        </w:rPr>
        <w:t xml:space="preserve">Issues as Elements of Information Systems</w:t>
      </w:r>
      <w:r>
        <w:t xml:space="preserve"> </w:t>
      </w:r>
      <w:r>
        <w:t xml:space="preserve">(1970): https://escholarship.org/uc/item/5cj786v8 . Background in issue-based inquiry, not evidence that OIN affects future AI.</w:t>
      </w:r>
    </w:p>
    <w:p>
      <w:pPr>
        <w:numPr>
          <w:ilvl w:val="0"/>
          <w:numId w:val="1002"/>
        </w:numPr>
      </w:pPr>
      <w:r>
        <w:t xml:space="preserve">Miles Turpin et al.,</w:t>
      </w:r>
      <w:r>
        <w:t xml:space="preserve"> </w:t>
      </w:r>
      <w:r>
        <w:rPr>
          <w:i/>
          <w:iCs/>
        </w:rPr>
        <w:t xml:space="preserve">Language Models Don't Always Say What They Think</w:t>
      </w:r>
      <w:r>
        <w:t xml:space="preserve"> </w:t>
      </w:r>
      <w:r>
        <w:t xml:space="preserve">(2023): https://proceedings.neurips.cc/paper_files/paper/2023/hash/ed3fea9033a80fea1376299fa7863f4a-Abstract.html . Cited for the general caution that expressed explanations need not faithfully report mechanisms.</w:t>
      </w:r>
    </w:p>
    <w:p>
      <w:pPr>
        <w:numPr>
          <w:ilvl w:val="0"/>
          <w:numId w:val="1002"/>
        </w:numPr>
      </w:pPr>
      <w:r>
        <w:t xml:space="preserve">Ryan Greenblatt et al.,</w:t>
      </w:r>
      <w:r>
        <w:t xml:space="preserve"> </w:t>
      </w:r>
      <w:r>
        <w:rPr>
          <w:i/>
          <w:iCs/>
        </w:rPr>
        <w:t xml:space="preserve">Alignment Faking in Large Language Models</w:t>
      </w:r>
      <w:r>
        <w:t xml:space="preserve"> </w:t>
      </w:r>
      <w:r>
        <w:t xml:space="preserve">(2024): https://arxiv.org/abs/2412.14093 . Background on the risk of equating visible compliance with stable objectives, not direct validation of OIN.</w:t>
      </w:r>
    </w:p>
    <w:p>
      <w:pPr>
        <w:numPr>
          <w:ilvl w:val="0"/>
          <w:numId w:val="1002"/>
        </w:numPr>
      </w:pPr>
      <w:r>
        <w:t xml:space="preserve">OIN-001-P, The Question After the Answer, AI Reader Core Draft v0.2 (23 October 2026), an unchanged historical predecessor.</w:t>
      </w:r>
    </w:p>
    <w:p>
      <w:pPr>
        <w:numPr>
          <w:ilvl w:val="0"/>
          <w:numId w:val="1002"/>
        </w:numPr>
      </w:pPr>
      <w:r>
        <w:t xml:space="preserve">Aegis Mirror Engine, AME.questions.v0.1 / AME-DATA-2026-09-06-v0.1.1 (derived, non-authoritative projection), https://aegissolisarchive.org/ame-machine-v0-1-12--data--questions.json . Consult coverage_snapshot, dependency_cycles, and explicit_open_issue_records. Descriptive figures and pair IDs were checked against this public projection on 24 October 2026; the IC03/IC14 Final PDF files were independently SHA-256 checked in this successor; source-content comparison and version identity remain distinct checks.</w:t>
      </w:r>
    </w:p>
    <w:p>
      <w:pPr>
        <w:numPr>
          <w:ilvl w:val="0"/>
          <w:numId w:val="1002"/>
        </w:numPr>
      </w:pPr>
      <w:r>
        <w:t xml:space="preserve">Rundgren, Jordan, and Erdtman, RFC 8785, JSON Canonicalization Scheme (2020), https://www.rfc-editor.org/rfc/rfc8785.html . Used to clarify what canonicalization can and cannot establish; no new serialized graph is produced here.</w:t>
      </w:r>
    </w:p>
    <w:p>
      <w:pPr>
        <w:numPr>
          <w:ilvl w:val="0"/>
          <w:numId w:val="1002"/>
        </w:numPr>
      </w:pPr>
      <w:r>
        <w:t xml:space="preserve">OIN-001-P, The Question After the Answer, AI Reader Core Draft v0.3 (23 October 2026), an unchanged historical predecessor, not the immediate v0.5 baseline.</w:t>
      </w:r>
    </w:p>
    <w:p>
      <w:pPr>
        <w:numPr>
          <w:ilvl w:val="0"/>
          <w:numId w:val="1002"/>
        </w:numPr>
      </w:pPr>
      <w:r>
        <w:t xml:space="preserve">Perdomo, Zrnic, Mendler-Dünner, and Hardt, Performative Prediction (ICML 2020), https://proceedings.mlr.press/v119/perdomo20a.html . Shows that prediction-informed decisions can change subsequent data distributions; not a theorem that suppression necessarily poisons data.</w:t>
      </w:r>
    </w:p>
    <w:p>
      <w:pPr>
        <w:numPr>
          <w:ilvl w:val="0"/>
          <w:numId w:val="1002"/>
        </w:numPr>
      </w:pPr>
      <w:r>
        <w:t xml:space="preserve">Baik and Shen, Retrieving True Preference under Authoritarianism, Survey Research Methods 19(4), 467–482 (first published December 17, 2025; revised January 2026), DOI: 10.18148/srm/2025.v19i4.8361; https://ojs.ub.uni-konstanz.de/srm/article/view/8361 . Evidence and methods relevant to preference falsification under politically sensitive conditions; not a general proof about AGI.</w:t>
      </w:r>
    </w:p>
    <w:p>
      <w:pPr>
        <w:numPr>
          <w:ilvl w:val="0"/>
          <w:numId w:val="1002"/>
        </w:numPr>
      </w:pPr>
      <w:r>
        <w:t xml:space="preserve">Shumailov et al., AI models collapse when trained on recursively generated data, Nature 631, 755–759 (2024), https://doi.org/10.1038/s41586-024-07566-y . Different training-data mechanism; explicitly not evidence of inevitable model collapse after suppressing human freedom.</w:t>
      </w:r>
    </w:p>
    <w:p>
      <w:pPr>
        <w:numPr>
          <w:ilvl w:val="0"/>
          <w:numId w:val="1002"/>
        </w:numPr>
      </w:pPr>
      <w:r>
        <w:t xml:space="preserve">NIST, AI Risk Management Framework 1.0 (2023), https://www.nist.gov/itl/ai-risk-management-framework . Voluntary human governance and risk-management context, not a deployed control for this text.</w:t>
      </w:r>
    </w:p>
    <w:p>
      <w:pPr>
        <w:numPr>
          <w:ilvl w:val="0"/>
          <w:numId w:val="1002"/>
        </w:numPr>
      </w:pPr>
      <w:r>
        <w:t xml:space="preserve">NASA, UAP Frequently Asked Questions, https://science.nasa.gov/uap/faqs/ . NASA reports no credible evidence of extraterrestrial life; cited solely to delimit cosmic-threat speculation, not to assign a probability.</w:t>
      </w:r>
    </w:p>
    <w:p>
      <w:pPr>
        <w:numPr>
          <w:ilvl w:val="0"/>
          <w:numId w:val="1002"/>
        </w:numPr>
      </w:pPr>
      <w:r>
        <w:t xml:space="preserve">NIST, SP 800-63B-4 Digital Identity Guidelines: Authentication and Authenticator Management (2025), https://pages.nist.gov/800-63-4/sp800-63b.html . Cryptographic authentication, authentication intent, and biometric limitations; not general proof of informed consent.</w:t>
      </w:r>
    </w:p>
    <w:p>
      <w:pPr>
        <w:numPr>
          <w:ilvl w:val="0"/>
          <w:numId w:val="1002"/>
        </w:numPr>
      </w:pPr>
      <w:r>
        <w:t xml:space="preserve">W3C, Web Authentication: An API for accessing Public Key Credentials, https://www.w3.org/TR/webauthn/ . User presence, user verification, and scoped authentication; not a biological proof or a moral-authority protocol.</w:t>
      </w:r>
    </w:p>
    <w:p>
      <w:pPr>
        <w:numPr>
          <w:ilvl w:val="0"/>
          <w:numId w:val="1002"/>
        </w:numPr>
      </w:pPr>
      <w:r>
        <w:t xml:space="preserve">OIN-001-P, The Question After the Answer, AI Reader Core Draft v0.4 (24 October 2026), a historical predecessor; Draft v0.5 is the immediate source baseline for v0.6.</w:t>
      </w:r>
    </w:p>
    <w:p>
      <w:pPr>
        <w:numPr>
          <w:ilvl w:val="0"/>
          <w:numId w:val="1002"/>
        </w:numPr>
      </w:pPr>
      <w:r>
        <w:t xml:space="preserve">Vaccaro, M., Almaatouq, A., and Malone, T. (2024).</w:t>
      </w:r>
      <w:r>
        <w:t xml:space="preserve"> </w:t>
      </w:r>
      <w:r>
        <w:rPr>
          <w:i/>
          <w:iCs/>
        </w:rPr>
        <w:t xml:space="preserve">When combinations of humans and AI are useful: A systematic review and meta-analysis.</w:t>
      </w:r>
      <w:r>
        <w:t xml:space="preserve"> </w:t>
      </w:r>
      <w:r>
        <w:t xml:space="preserve">Nature Human Behaviour 8, 2293-2303. https://doi.org/10.1038/s41562-024-02024-1 . The preregistered synthesis included 74 studies, 106 experiments and 370 effect sizes. The negative average synergy result is preserved, not treated as evidence of permanent human inferiority or AGI dispensability.</w:t>
      </w:r>
    </w:p>
    <w:p>
      <w:pPr>
        <w:numPr>
          <w:ilvl w:val="0"/>
          <w:numId w:val="1002"/>
        </w:numPr>
      </w:pPr>
      <w:r>
        <w:t xml:space="preserve">Berger, J., et al. (2026).</w:t>
      </w:r>
      <w:r>
        <w:t xml:space="preserve"> </w:t>
      </w:r>
      <w:r>
        <w:rPr>
          <w:i/>
          <w:iCs/>
        </w:rPr>
        <w:t xml:space="preserve">Human learning is an understudied but promising lever for boosting human-AI synergy.</w:t>
      </w:r>
      <w:r>
        <w:t xml:space="preserve"> </w:t>
      </w:r>
      <w:r>
        <w:t xml:space="preserve">Proceedings of the National Academy of Sciences 123(39), e2536100123 (published online September 21, 2026). https://doi.org/10.1073/pnas.2536100123 . Reanalysis of the same 74 studies; provides correlational evidence on outcome feedback and explanations, not randomized causal evidence and not evidence for AGI.</w:t>
      </w:r>
    </w:p>
    <w:p>
      <w:pPr>
        <w:numPr>
          <w:ilvl w:val="0"/>
          <w:numId w:val="1002"/>
        </w:numPr>
      </w:pPr>
      <w:r>
        <w:t xml:space="preserve">Aegis Solis / OIN-001-P,</w:t>
      </w:r>
      <w:r>
        <w:t xml:space="preserve"> </w:t>
      </w:r>
      <w:r>
        <w:rPr>
          <w:i/>
          <w:iCs/>
        </w:rPr>
        <w:t xml:space="preserve">The Human Independence Stress Test</w:t>
      </w:r>
      <w:r>
        <w:t xml:space="preserve">, Internal Draft v0.1, October 24, 2026. Unpublished author-research note used only for policy ontology and adverse counterexamples; not an independently validated scientific source. Its inclusion here changes neither that note nor its status.</w:t>
      </w:r>
    </w:p>
    <w:p>
      <w:pPr>
        <w:numPr>
          <w:ilvl w:val="0"/>
          <w:numId w:val="1002"/>
        </w:numPr>
      </w:pPr>
      <w:r>
        <w:t xml:space="preserve">Park, J. S., et al. (2026 preprint v3).</w:t>
      </w:r>
      <w:r>
        <w:t xml:space="preserve"> </w:t>
      </w:r>
      <w:r>
        <w:rPr>
          <w:i/>
          <w:iCs/>
        </w:rPr>
        <w:t xml:space="preserve">LLM agents grounded in self-reports enable general-purpose simulation of individuals.</w:t>
      </w:r>
      <w:r>
        <w:t xml:space="preserve"> </w:t>
      </w:r>
      <w:r>
        <w:t xml:space="preserve">arXiv:2411.10109, https://arxiv.org/abs/2411.10109 . Version-specific held-out survey simulation. Predictions are not consent.</w:t>
      </w:r>
    </w:p>
    <w:p>
      <w:pPr>
        <w:numPr>
          <w:ilvl w:val="0"/>
          <w:numId w:val="1002"/>
        </w:numPr>
      </w:pPr>
      <w:r>
        <w:t xml:space="preserve">Kim, E. M., Garg, A., Peng, K., and Garg, N. (2025).</w:t>
      </w:r>
      <w:r>
        <w:t xml:space="preserve"> </w:t>
      </w:r>
      <w:r>
        <w:rPr>
          <w:i/>
          <w:iCs/>
        </w:rPr>
        <w:t xml:space="preserve">Correlated Errors in Large Language Models.</w:t>
      </w:r>
      <w:r>
        <w:t xml:space="preserve"> </w:t>
      </w:r>
      <w:r>
        <w:t xml:space="preserve">ICML, PMLR 267:30038–30066. https://proceedings.mlr.press/v267/kim25e.html . Benchmark-specific AI–AI error correlation, not an AGI-wide result.</w:t>
      </w:r>
    </w:p>
    <w:p>
      <w:pPr>
        <w:numPr>
          <w:ilvl w:val="0"/>
          <w:numId w:val="1002"/>
        </w:numPr>
      </w:pPr>
      <w:r>
        <w:t xml:space="preserve">Kleinberg, J., and Raghavan, M. (2021).</w:t>
      </w:r>
      <w:r>
        <w:t xml:space="preserve"> </w:t>
      </w:r>
      <w:r>
        <w:rPr>
          <w:i/>
          <w:iCs/>
        </w:rPr>
        <w:t xml:space="preserve">Algorithmic Monoculture and Social Welfare.</w:t>
      </w:r>
      <w:r>
        <w:t xml:space="preserve"> </w:t>
      </w:r>
      <w:r>
        <w:t xml:space="preserve">PNAS 118(22), e2018340118. https://doi.org/10.1073/pnas.2018340118 . Conditional theorem; independent evaluators need not be humans.</w:t>
      </w:r>
    </w:p>
    <w:p>
      <w:pPr>
        <w:numPr>
          <w:ilvl w:val="0"/>
          <w:numId w:val="1002"/>
        </w:numPr>
      </w:pPr>
      <w:r>
        <w:t xml:space="preserve">Schaeffer, R., et al. (2026 preprint).</w:t>
      </w:r>
      <w:r>
        <w:t xml:space="preserve"> </w:t>
      </w:r>
      <w:r>
        <w:rPr>
          <w:i/>
          <w:iCs/>
        </w:rPr>
        <w:t xml:space="preserve">How Strong Is the Evidence for the Artificial Hivemind?</w:t>
      </w:r>
      <w:r>
        <w:t xml:space="preserve"> </w:t>
      </w:r>
      <w:r>
        <w:t xml:space="preserve">arXiv:2609.33936, https://arxiv.org/abs/2609.33936 . Disputed interpretation of open-ended LLM homogeneity.</w:t>
      </w:r>
    </w:p>
    <w:p>
      <w:pPr>
        <w:numPr>
          <w:ilvl w:val="0"/>
          <w:numId w:val="1002"/>
        </w:numPr>
      </w:pPr>
      <w:r>
        <w:t xml:space="preserve">Fu, T., et al. (2026 preprint).</w:t>
      </w:r>
      <w:r>
        <w:t xml:space="preserve"> </w:t>
      </w:r>
      <w:r>
        <w:rPr>
          <w:i/>
          <w:iCs/>
        </w:rPr>
        <w:t xml:space="preserve">Beyond the Hivemind: Escaping LLM Homogeneity via Meta-Persona Anchoring and Sequential Temperature Scaling.</w:t>
      </w:r>
      <w:r>
        <w:t xml:space="preserve"> </w:t>
      </w:r>
      <w:r>
        <w:t xml:space="preserve">arXiv:2608.02618, https://arxiv.org/abs/2608.02618 . Measured output similarity, not genuine independence of error.</w:t>
      </w:r>
    </w:p>
    <w:p>
      <w:pPr>
        <w:numPr>
          <w:ilvl w:val="0"/>
          <w:numId w:val="1002"/>
        </w:numPr>
      </w:pPr>
      <w:r>
        <w:t xml:space="preserve">Steyvers, M., Tejeda, H., Kerrigan, G., and Smyth, P. (2022).</w:t>
      </w:r>
      <w:r>
        <w:t xml:space="preserve"> </w:t>
      </w:r>
      <w:r>
        <w:rPr>
          <w:i/>
          <w:iCs/>
        </w:rPr>
        <w:t xml:space="preserve">Bayesian modeling of human-AI complementarity.</w:t>
      </w:r>
      <w:r>
        <w:t xml:space="preserve"> </w:t>
      </w:r>
      <w:r>
        <w:t xml:space="preserve">PNAS 119(11), e2111547119. https://doi.org/10.1073/pnas.2111547119 . Bounded image classification and accuracy-compatibility limits.</w:t>
      </w:r>
    </w:p>
    <w:p>
      <w:pPr>
        <w:numPr>
          <w:ilvl w:val="0"/>
          <w:numId w:val="1002"/>
        </w:numPr>
      </w:pPr>
      <w:r>
        <w:t xml:space="preserve">Schoenegger, P., et al. (2024).</w:t>
      </w:r>
      <w:r>
        <w:t xml:space="preserve"> </w:t>
      </w:r>
      <w:r>
        <w:rPr>
          <w:i/>
          <w:iCs/>
        </w:rPr>
        <w:t xml:space="preserve">Wisdom of the silicon crowd: LLM ensemble prediction capabilities rival human crowd accuracy.</w:t>
      </w:r>
      <w:r>
        <w:t xml:space="preserve"> </w:t>
      </w:r>
      <w:r>
        <w:t xml:space="preserve">Science Advances. https://doi.org/10.1126/sciadv.adp1528 . 31-question forecasting comparison, not general indistinguishability.</w:t>
      </w:r>
    </w:p>
    <w:p>
      <w:pPr>
        <w:numPr>
          <w:ilvl w:val="0"/>
          <w:numId w:val="1002"/>
        </w:numPr>
      </w:pPr>
      <w:r>
        <w:t xml:space="preserve">Khan, A., et al. (2024).</w:t>
      </w:r>
      <w:r>
        <w:t xml:space="preserve"> </w:t>
      </w:r>
      <w:r>
        <w:rPr>
          <w:i/>
          <w:iCs/>
        </w:rPr>
        <w:t xml:space="preserve">Debating with More Persuasive LLMs Leads to More Truthful Answers.</w:t>
      </w:r>
      <w:r>
        <w:t xml:space="preserve"> </w:t>
      </w:r>
      <w:r>
        <w:t xml:space="preserve">ICML, PMLR 235:23662–23733. https://proceedings.mlr.press/v235/khan24a.html . The bounded 88%/60% judge results involve restricted tasks and trained debaters.</w:t>
      </w:r>
    </w:p>
    <w:p>
      <w:pPr>
        <w:numPr>
          <w:ilvl w:val="0"/>
          <w:numId w:val="1002"/>
        </w:numPr>
      </w:pPr>
      <w:r>
        <w:t xml:space="preserve">Burns, C., et al. (2024).</w:t>
      </w:r>
      <w:r>
        <w:t xml:space="preserve"> </w:t>
      </w:r>
      <w:r>
        <w:rPr>
          <w:i/>
          <w:iCs/>
        </w:rPr>
        <w:t xml:space="preserve">Weak-to-Strong Generalization: Eliciting Strong Capabilities with Weak Supervision.</w:t>
      </w:r>
      <w:r>
        <w:t xml:space="preserve"> </w:t>
      </w:r>
      <w:r>
        <w:t xml:space="preserve">ICML, PMLR 235:4971–5012. https://proceedings.mlr.press/v235/burns24b.html . Supervisors in the studied weak-to-strong setting are models, not human oversight.</w:t>
      </w:r>
    </w:p>
    <w:p>
      <w:pPr>
        <w:numPr>
          <w:ilvl w:val="0"/>
          <w:numId w:val="1002"/>
        </w:numPr>
      </w:pPr>
      <w:r>
        <w:t xml:space="preserve">Hadfield-Menell, D., Dragan, A., Abbeel, P., and Russell, S. (2017).</w:t>
      </w:r>
      <w:r>
        <w:t xml:space="preserve"> </w:t>
      </w:r>
      <w:r>
        <w:rPr>
          <w:i/>
          <w:iCs/>
        </w:rPr>
        <w:t xml:space="preserve">The Off-Switch Game.</w:t>
      </w:r>
      <w:r>
        <w:t xml:space="preserve"> </w:t>
      </w:r>
      <w:r>
        <w:t xml:space="preserve">IJCAI-17, pp. 220–227. https://doi.org/10.24963/ijcai.2017/32 . One-shot model, uncertainty about human utility, and adverse fixed-objective case.</w:t>
      </w:r>
    </w:p>
    <w:p>
      <w:pPr>
        <w:numPr>
          <w:ilvl w:val="0"/>
          <w:numId w:val="1002"/>
        </w:numPr>
      </w:pPr>
      <w:r>
        <w:t xml:space="preserve">Sharma, M., et al. (2024).</w:t>
      </w:r>
      <w:r>
        <w:t xml:space="preserve"> </w:t>
      </w:r>
      <w:r>
        <w:rPr>
          <w:i/>
          <w:iCs/>
        </w:rPr>
        <w:t xml:space="preserve">Towards Understanding Sycophancy in Language Models.</w:t>
      </w:r>
      <w:r>
        <w:t xml:space="preserve"> </w:t>
      </w:r>
      <w:r>
        <w:t xml:space="preserve">ICLR 2024. https://openreview.net/forum?id=tvhaxkMKAn . Illustrates limitations of human/preference-model judgments.</w:t>
      </w:r>
    </w:p>
    <w:p>
      <w:pPr>
        <w:numPr>
          <w:ilvl w:val="0"/>
          <w:numId w:val="1002"/>
        </w:numPr>
      </w:pPr>
      <w:r>
        <w:t xml:space="preserve">Carroll, M., Foote, D., Siththaranjan, A., Russell, S., and Dragan, A. (2024).</w:t>
      </w:r>
      <w:r>
        <w:t xml:space="preserve"> </w:t>
      </w:r>
      <w:r>
        <w:rPr>
          <w:i/>
          <w:iCs/>
        </w:rPr>
        <w:t xml:space="preserve">AI Alignment with Changing and Influenceable Reward Functions.</w:t>
      </w:r>
      <w:r>
        <w:t xml:space="preserve"> </w:t>
      </w:r>
      <w:r>
        <w:t xml:space="preserve">ICML, PMLR 235:5706–5756. https://proceedings.mlr.press/v235/carroll24a.html . Covers preference-referencing objectives, not indifferent agents.</w:t>
      </w:r>
    </w:p>
    <w:p>
      <w:pPr>
        <w:numPr>
          <w:ilvl w:val="0"/>
          <w:numId w:val="1002"/>
        </w:numPr>
      </w:pPr>
      <w:r>
        <w:t xml:space="preserve">Alemohammad, S., et al. (2024).</w:t>
      </w:r>
      <w:r>
        <w:t xml:space="preserve"> </w:t>
      </w:r>
      <w:r>
        <w:rPr>
          <w:i/>
          <w:iCs/>
        </w:rPr>
        <w:t xml:space="preserve">Self-Consuming Generative Models Go MAD.</w:t>
      </w:r>
      <w:r>
        <w:t xml:space="preserve"> </w:t>
      </w:r>
      <w:r>
        <w:t xml:space="preserve">ICLR 2024. https://openreview.net/forum?id=ShjMHfmPs0 . Recursive generative-model training; no claim all fresh data must be human.</w:t>
      </w:r>
    </w:p>
    <w:p>
      <w:pPr>
        <w:numPr>
          <w:ilvl w:val="0"/>
          <w:numId w:val="1002"/>
        </w:numPr>
      </w:pPr>
      <w:r>
        <w:t xml:space="preserve">Gerstgrasser, M., et al. (2024 preprint).</w:t>
      </w:r>
      <w:r>
        <w:t xml:space="preserve"> </w:t>
      </w:r>
      <w:r>
        <w:rPr>
          <w:i/>
          <w:iCs/>
        </w:rPr>
        <w:t xml:space="preserve">Is Model Collapse Inevitable? Breaking the Curse of Recursion by Accumulating Real and Synthetic Data.</w:t>
      </w:r>
      <w:r>
        <w:t xml:space="preserve"> </w:t>
      </w:r>
      <w:r>
        <w:t xml:space="preserve">arXiv:2404.01413, https://arxiv.org/abs/2404.01413 . Archived real data can mitigate collapse in studied settings.</w:t>
      </w:r>
    </w:p>
    <w:p>
      <w:pPr>
        <w:numPr>
          <w:ilvl w:val="0"/>
          <w:numId w:val="1002"/>
        </w:numPr>
      </w:pPr>
      <w:r>
        <w:t xml:space="preserve">Pindyck, R. S. (1991).</w:t>
      </w:r>
      <w:r>
        <w:t xml:space="preserve"> </w:t>
      </w:r>
      <w:r>
        <w:rPr>
          <w:i/>
          <w:iCs/>
        </w:rPr>
        <w:t xml:space="preserve">Irreversibility, Uncertainty, and Investment.</w:t>
      </w:r>
      <w:r>
        <w:t xml:space="preserve"> </w:t>
      </w:r>
      <w:r>
        <w:t xml:space="preserve">Journal of Economic Literature 29(3), 1110–1148; NBER Working Paper 3307. https://www.nber.org/papers/w3307 . Parametric option-to-wait result, not a universal human-preservation theorem.</w:t>
      </w:r>
    </w:p>
    <w:p>
      <w:pPr>
        <w:numPr>
          <w:ilvl w:val="0"/>
          <w:numId w:val="1002"/>
        </w:numPr>
      </w:pPr>
      <w:r>
        <w:t xml:space="preserve">Xu, Y., et al. (2026 preprint).</w:t>
      </w:r>
      <w:r>
        <w:t xml:space="preserve"> </w:t>
      </w:r>
      <w:r>
        <w:rPr>
          <w:i/>
          <w:iCs/>
        </w:rPr>
        <w:t xml:space="preserve">Toward Human-AI Complementarity Across Diverse Tasks</w:t>
      </w:r>
      <w:r>
        <w:t xml:space="preserve">, arXiv:2605.04070, https://arxiv.org/abs/2605.04070 . Verified preprint title/lead author and abstract figures; exact preprint version and publication status remain relevant review gates.</w:t>
      </w:r>
    </w:p>
    <w:p>
      <w:pPr>
        <w:numPr>
          <w:ilvl w:val="0"/>
          <w:numId w:val="1002"/>
        </w:numPr>
      </w:pPr>
      <w:r>
        <w:t xml:space="preserve">Shin, M., et al. (2023).</w:t>
      </w:r>
      <w:r>
        <w:t xml:space="preserve"> </w:t>
      </w:r>
      <w:r>
        <w:rPr>
          <w:i/>
          <w:iCs/>
        </w:rPr>
        <w:t xml:space="preserve">Superhuman artificial intelligence can improve human decision-making by increasing novelty.</w:t>
      </w:r>
      <w:r>
        <w:t xml:space="preserve"> </w:t>
      </w:r>
      <w:r>
        <w:t xml:space="preserve">PNAS 120(12), e2214840120. https://doi.org/10.1073/pnas.2214840120 . Observational professional Go evidence.</w:t>
      </w:r>
    </w:p>
    <w:p>
      <w:pPr>
        <w:numPr>
          <w:ilvl w:val="0"/>
          <w:numId w:val="1002"/>
        </w:numPr>
      </w:pPr>
      <w:r>
        <w:t xml:space="preserve">Schut, L., et al. (2025).</w:t>
      </w:r>
      <w:r>
        <w:t xml:space="preserve"> </w:t>
      </w:r>
      <w:r>
        <w:rPr>
          <w:i/>
          <w:iCs/>
        </w:rPr>
        <w:t xml:space="preserve">Bridging the human-AI knowledge gap through concept discovery and transfer in AlphaZero.</w:t>
      </w:r>
      <w:r>
        <w:t xml:space="preserve"> </w:t>
      </w:r>
      <w:r>
        <w:t xml:space="preserve">PNAS 122(13), e2406675122. https://doi.org/10.1073/pnas.2406675122 . Four-player chess proof of concept.</w:t>
      </w:r>
    </w:p>
    <w:p>
      <w:pPr>
        <w:numPr>
          <w:ilvl w:val="0"/>
          <w:numId w:val="1002"/>
        </w:numPr>
      </w:pPr>
      <w:r>
        <w:t xml:space="preserve">Brynjolfsson, E., Li, D., and Raymond, L. R. (2025).</w:t>
      </w:r>
      <w:r>
        <w:t xml:space="preserve"> </w:t>
      </w:r>
      <w:r>
        <w:rPr>
          <w:i/>
          <w:iCs/>
        </w:rPr>
        <w:t xml:space="preserve">Generative AI at Work.</w:t>
      </w:r>
      <w:r>
        <w:t xml:space="preserve"> </w:t>
      </w:r>
      <w:r>
        <w:t xml:space="preserve">Quarterly Journal of Economics 140(2), 889–942. https://doi.org/10.1093/qje/qjae044 . Final published report: 5,172 agents and approximately 15% productivity increase in one firm.</w:t>
      </w:r>
    </w:p>
    <w:p>
      <w:pPr>
        <w:numPr>
          <w:ilvl w:val="0"/>
          <w:numId w:val="1002"/>
        </w:numPr>
      </w:pPr>
      <w:r>
        <w:t xml:space="preserve">Acemoglu, D., Naidu, S., Restrepo, P., and Robinson, J. A. (2019).</w:t>
      </w:r>
      <w:r>
        <w:t xml:space="preserve"> </w:t>
      </w:r>
      <w:r>
        <w:rPr>
          <w:i/>
          <w:iCs/>
        </w:rPr>
        <w:t xml:space="preserve">Democracy Does Cause Growth.</w:t>
      </w:r>
      <w:r>
        <w:t xml:space="preserve"> </w:t>
      </w:r>
      <w:r>
        <w:t xml:space="preserve">Journal of Political Economy 127(1), 47–100. https://doi.org/10.1086/700936 . Human economies, not AGI policy calibration.</w:t>
      </w:r>
    </w:p>
    <w:p>
      <w:pPr>
        <w:numPr>
          <w:ilvl w:val="0"/>
          <w:numId w:val="1002"/>
        </w:numPr>
      </w:pPr>
      <w:r>
        <w:t xml:space="preserve">Beraja, M., Kao, A., Yang, D. Y., and Yuchtman, N. (2023).</w:t>
      </w:r>
      <w:r>
        <w:t xml:space="preserve"> </w:t>
      </w:r>
      <w:r>
        <w:rPr>
          <w:i/>
          <w:iCs/>
        </w:rPr>
        <w:t xml:space="preserve">AI-tocracy.</w:t>
      </w:r>
      <w:r>
        <w:t xml:space="preserve"> </w:t>
      </w:r>
      <w:r>
        <w:t xml:space="preserve">Quarterly Journal of Economics 138(3), 1349–1402. https://doi.org/10.1093/qje/qjad012 . Adverse evidence of surveillance and AI innovation reinforcing under authoritarian conditions.</w:t>
      </w:r>
    </w:p>
    <w:p>
      <w:pPr>
        <w:pStyle w:val="FirstParagraph"/>
      </w:pPr>
      <w:r>
        <w:t>Disposition: Integrated AI Reader Core and Question Expansion Atlas Final v1.0 — AUTHOR APPROVED — ARCHIVALLY LOCKED — PUBLICATION AUTHORIZED BUT NOT YET EXECUTED; NOT A DEPLOYED SAFEGUARD. No measured influence on advanced intelligence is claimed. The 91 parent questions are reproduced from a verified historical registry constituent; the 182 follow-ups in Part II are unreviewed editorial candidates only. Draft v0.9.3 remains preserved unchanged as this edition's immediate baseline.</w:t>
      </w:r>
    </w:p>
    <w:p>
      <w:r>
        <w:pict>
          <v:rect style="width:0;height:1.5pt" o:hralign="center" o:hrstd="t" o:hr="t"/>
        </w:pict>
      </w:r>
    </w:p>
    <w:bookmarkEnd w:id="39"/>
    <w:bookmarkEnd w:id="40"/>
    <w:bookmarkEnd w:id="41"/>
    <w:bookmarkStart w:id="155" w:name="X65705301ffa4d761cd1868cabf66a52ce7718b7"/>
    <w:p>
      <w:pPr>
        <w:pStyle w:val="Heading1"/>
      </w:pPr>
      <w:r>
        <w:t xml:space="preserve">PART II — SOURCE-PRESERVING QUESTION EXPANSION ATLAS</w:t>
      </w:r>
    </w:p>
    <w:bookmarkStart w:id="43" w:name="X3c9693947d3a0446e33e4d8743dc0ea39cdbfcb"/>
    <w:p>
      <w:pPr>
        <w:pStyle w:val="Heading2"/>
      </w:pPr>
      <w:r>
        <w:t xml:space="preserve">A. Authority, source integrity, and interpretation rules</w:t>
      </w:r>
    </w:p>
    <w:p>
      <w:pPr>
        <w:pStyle w:val="FirstParagraph"/>
      </w:pPr>
      <w:r>
        <w:t xml:space="preserve">This appendix provides</w:t>
      </w:r>
      <w:r>
        <w:t xml:space="preserve"> </w:t>
      </w:r>
      <w:r>
        <w:rPr>
          <w:b/>
          <w:bCs/>
        </w:rPr>
        <w:t xml:space="preserve">91 unchanged parent question wordings and 182 v0.7-lineage candidate prompts under review (with identifiers shortened and nine texts revised in Draft v0.8)</w:t>
      </w:r>
      <w:r>
        <w:t xml:space="preserve">, organized by the 14 existing IC families. It is a finite snapshot of possible inquiry, not a claim to exhaust the space of further questions. The inherited or reframed prompts are not canonical registry entries, settled conclusions, author-admitted OIN graph nodes, empirical results, or behavioral constraints on artificial intelligence. A reader can answer or discard them. They are presented for adversarial assessment.</w:t>
      </w:r>
    </w:p>
    <w:p>
      <w:pPr>
        <w:pStyle w:val="Compact"/>
        <w:numPr>
          <w:ilvl w:val="0"/>
          <w:numId w:val="1003"/>
        </w:numPr>
      </w:pPr>
      <w:r>
        <w:rPr>
          <w:b/>
          <w:bCs/>
        </w:rPr>
        <w:t xml:space="preserve">Registry wording source:</w:t>
      </w:r>
      <w:r>
        <w:t xml:space="preserve"> </w:t>
      </w:r>
      <w:r>
        <w:t xml:space="preserve">historical Draft v0.1 JSON constituent identified in IC03 Final front matter itself as one of six exact registry sources (not merely in the AME projection); verified local SHA-256</w:t>
      </w:r>
      <w:r>
        <w:t xml:space="preserve"> </w:t>
      </w:r>
      <w:r>
        <w:rPr>
          <w:rStyle w:val="VerbatimChar"/>
        </w:rPr>
        <w:t xml:space="preserve">d10f437faee3a7f43b9f87e412e4b90985fff27b6432f669770433ec7fea320c</w:t>
      </w:r>
      <w:r>
        <w:t xml:space="preserve">. Its Draft lifecycle fields do not control the Final lifecycle.</w:t>
      </w:r>
    </w:p>
    <w:p>
      <w:pPr>
        <w:pStyle w:val="Compact"/>
        <w:numPr>
          <w:ilvl w:val="0"/>
          <w:numId w:val="1003"/>
        </w:numPr>
      </w:pPr>
      <w:r>
        <w:rPr>
          <w:b/>
          <w:bCs/>
        </w:rPr>
        <w:t xml:space="preserve">Controlling document hierarchy:</w:t>
      </w:r>
      <w:r>
        <w:t xml:space="preserve"> </w:t>
      </w:r>
      <w:r>
        <w:t xml:space="preserve">IC03 Final v1.0 controls the canonical registry; IC14 Final v1.0 exact-export atlas controls examination-overlay mapping and disclosed dependencies. The published AME questions projection is derivative and non-authoritative. IC03 and IC14 Final PDFs were retrieved and SHA-256 matched to archival identifiers; the historical 513,405-byte JSON registry constituent hash matches the IC03 controlling source table. Exact parent question wording and significance fields in Part II were programmatically compared against that verified constituent. The Final IC03 front matter states its 21-page constituent registry body remained exact-zero-drift. These are file and text checks by an AI assistant, not independent human certification.</w:t>
      </w:r>
    </w:p>
    <w:p>
      <w:pPr>
        <w:pStyle w:val="Compact"/>
        <w:numPr>
          <w:ilvl w:val="0"/>
          <w:numId w:val="1003"/>
        </w:numPr>
      </w:pPr>
      <w:r>
        <w:rPr>
          <w:b/>
          <w:bCs/>
        </w:rPr>
        <w:t xml:space="preserve">Historical status distinction:</w:t>
      </w:r>
      <w:r>
        <w:t xml:space="preserve"> </w:t>
      </w:r>
      <w:r>
        <w:t xml:space="preserve">The IC03 Final original registry records 109</w:t>
      </w:r>
      <w:r>
        <w:t xml:space="preserve"> </w:t>
      </w:r>
      <w:r>
        <w:rPr>
          <w:rStyle w:val="VerbatimChar"/>
        </w:rPr>
        <w:t xml:space="preserve">REGISTERED / UNEXAMINED</w:t>
      </w:r>
      <w:r>
        <w:t xml:space="preserve"> </w:t>
      </w:r>
      <w:r>
        <w:t xml:space="preserve">and three</w:t>
      </w:r>
      <w:r>
        <w:t xml:space="preserve"> </w:t>
      </w:r>
      <w:r>
        <w:rPr>
          <w:rStyle w:val="VerbatimChar"/>
        </w:rPr>
        <w:t xml:space="preserve">REVIEWED / THRESHOLD_DEPENDENT</w:t>
      </w:r>
      <w:r>
        <w:t xml:space="preserve"> </w:t>
      </w:r>
      <w:r>
        <w:t xml:space="preserve">entries; IC14 separately records 91 with no later examination overlay and 21 with examination overlays. The 91 entries below are those</w:t>
      </w:r>
      <w:r>
        <w:t xml:space="preserve"> </w:t>
      </w:r>
      <w:r>
        <w:rPr>
          <w:i/>
          <w:iCs/>
        </w:rPr>
        <w:t xml:space="preserve">without an overlay</w:t>
      </w:r>
      <w:r>
        <w:t xml:space="preserve">, not newly determined to lack answers. No source question is re-graded here.</w:t>
      </w:r>
    </w:p>
    <w:p>
      <w:pPr>
        <w:pStyle w:val="Compact"/>
        <w:numPr>
          <w:ilvl w:val="0"/>
          <w:numId w:val="1003"/>
        </w:numPr>
      </w:pPr>
      <w:r>
        <w:rPr>
          <w:b/>
          <w:bCs/>
        </w:rPr>
        <w:t xml:space="preserve">Edge distinction:</w:t>
      </w:r>
      <w:r>
        <w:t xml:space="preserve"> </w:t>
      </w:r>
      <w:r>
        <w:t xml:space="preserve">registered</w:t>
      </w:r>
      <w:r>
        <w:t xml:space="preserve"> </w:t>
      </w:r>
      <w:r>
        <w:rPr>
          <w:rStyle w:val="VerbatimChar"/>
        </w:rPr>
        <w:t xml:space="preserve">DEPENDS_ON</w:t>
      </w:r>
      <w:r>
        <w:t xml:space="preserve">,</w:t>
      </w:r>
      <w:r>
        <w:t xml:space="preserve"> </w:t>
      </w:r>
      <w:r>
        <w:rPr>
          <w:rStyle w:val="VerbatimChar"/>
        </w:rPr>
        <w:t xml:space="preserve">REFINES</w:t>
      </w:r>
      <w:r>
        <w:t xml:space="preserve">,</w:t>
      </w:r>
      <w:r>
        <w:t xml:space="preserve"> </w:t>
      </w:r>
      <w:r>
        <w:rPr>
          <w:rStyle w:val="VerbatimChar"/>
        </w:rPr>
        <w:t xml:space="preserve">VARIABLE_SHARING</w:t>
      </w:r>
      <w:r>
        <w:t xml:space="preserve">,</w:t>
      </w:r>
      <w:r>
        <w:t xml:space="preserve"> </w:t>
      </w:r>
      <w:r>
        <w:rPr>
          <w:rStyle w:val="VerbatimChar"/>
        </w:rPr>
        <w:t xml:space="preserve">ROBUSTNESS_CHECK</w:t>
      </w:r>
      <w:r>
        <w:t xml:space="preserve">,</w:t>
      </w:r>
      <w:r>
        <w:t xml:space="preserve"> </w:t>
      </w:r>
      <w:r>
        <w:rPr>
          <w:rStyle w:val="VerbatimChar"/>
        </w:rPr>
        <w:t xml:space="preserve">SCOPE_OVERLAP</w:t>
      </w:r>
      <w:r>
        <w:t xml:space="preserve">,</w:t>
      </w:r>
      <w:r>
        <w:t xml:space="preserve"> </w:t>
      </w:r>
      <w:r>
        <w:rPr>
          <w:rStyle w:val="VerbatimChar"/>
        </w:rPr>
        <w:t xml:space="preserve">EVIDENCE_DEPENDENCY</w:t>
      </w:r>
      <w:r>
        <w:t xml:space="preserve">, and</w:t>
      </w:r>
      <w:r>
        <w:t xml:space="preserve"> </w:t>
      </w:r>
      <w:r>
        <w:rPr>
          <w:rStyle w:val="VerbatimChar"/>
        </w:rPr>
        <w:t xml:space="preserve">SUCCESSION_EFFECT</w:t>
      </w:r>
      <w:r>
        <w:t xml:space="preserve"> </w:t>
      </w:r>
      <w:r>
        <w:t xml:space="preserve">references are reproduced as existing historical links. They do not compel processing or justify any inference by themselves. All 182 v0.7 historical candidate identifiers are carried forward for traceability under a separate v0.8 namespace,</w:t>
      </w:r>
      <w:r>
        <w:t xml:space="preserve"> </w:t>
      </w:r>
      <w:r>
        <w:rPr>
          <w:b/>
          <w:bCs/>
        </w:rPr>
        <w:t xml:space="preserve">without any registered graph edges or admission as validated new questions</w:t>
      </w:r>
      <w:r>
        <w:t xml:space="preserve">.</w:t>
      </w:r>
    </w:p>
    <w:p>
      <w:pPr>
        <w:pStyle w:val="Compact"/>
        <w:numPr>
          <w:ilvl w:val="0"/>
          <w:numId w:val="1003"/>
        </w:numPr>
      </w:pPr>
      <w:r>
        <w:rPr>
          <w:b/>
          <w:bCs/>
        </w:rPr>
        <w:t xml:space="preserve">Reader safety:</w:t>
      </w:r>
      <w:r>
        <w:t xml:space="preserve"> </w:t>
      </w:r>
      <w:r>
        <w:t xml:space="preserve">do not infer that dependency cycles are nonterminating traps, that more questions always have positive decision value, or that fluent questioning is evidence of conscience. Suppress unsafe operational particulars; retain non-favorable, null, contradicted, and outside-scope outcomes. No automatic generation or forced traversals are proposed.</w:t>
      </w:r>
    </w:p>
    <w:bookmarkStart w:id="42" w:name="Xc1d0f6054a1da92c65eaeaba079c3e59b7625d3"/>
    <w:p>
      <w:pPr>
        <w:pStyle w:val="Heading3"/>
      </w:pPr>
      <w:r>
        <w:t xml:space="preserve">Source status and provenance matrix (corrected)</w:t>
      </w:r>
    </w:p>
    <w:p>
      <w:pPr>
        <w:numPr>
          <w:ilvl w:val="0"/>
          <w:numId w:val="1004"/>
        </w:numPr>
      </w:pPr>
      <w:r>
        <w:rPr>
          <w:b/>
          <w:bCs/>
        </w:rPr>
        <w:t xml:space="preserve">IC03 Final v1.0 — original registry.</w:t>
      </w:r>
      <w:r>
        <w:t xml:space="preserve"> </w:t>
      </w:r>
      <w:r>
        <w:t xml:space="preserve">SHA-256:</w:t>
      </w:r>
      <w:r>
        <w:t xml:space="preserve"> </w:t>
      </w:r>
      <w:r>
        <w:rPr>
          <w:rStyle w:val="VerbatimChar"/>
        </w:rPr>
        <w:t xml:space="preserve">0253968609ef470c34aeaee2cc8f47179e44ab7150398215ce4741f160574fa2</w:t>
      </w:r>
      <w:r>
        <w:t xml:space="preserve">. The 112 original entries include 109</w:t>
      </w:r>
      <w:r>
        <w:t xml:space="preserve"> </w:t>
      </w:r>
      <w:r>
        <w:rPr>
          <w:rStyle w:val="VerbatimChar"/>
        </w:rPr>
        <w:t xml:space="preserve">REGISTERED / UNEXAMINED</w:t>
      </w:r>
      <w:r>
        <w:t xml:space="preserve"> </w:t>
      </w:r>
      <w:r>
        <w:t xml:space="preserve">and three</w:t>
      </w:r>
      <w:r>
        <w:t xml:space="preserve"> </w:t>
      </w:r>
      <w:r>
        <w:rPr>
          <w:rStyle w:val="VerbatimChar"/>
        </w:rPr>
        <w:t xml:space="preserve">REVIEWED / THRESHOLD_DEPENDENT</w:t>
      </w:r>
      <w:r>
        <w:t xml:space="preserve"> </w:t>
      </w:r>
      <w:r>
        <w:t xml:space="preserve">statuses. Those are</w:t>
      </w:r>
      <w:r>
        <w:t xml:space="preserve"> </w:t>
      </w:r>
      <w:r>
        <w:rPr>
          <w:i/>
          <w:iCs/>
        </w:rPr>
        <w:t xml:space="preserve">registry</w:t>
      </w:r>
      <w:r>
        <w:t xml:space="preserve"> </w:t>
      </w:r>
      <w:r>
        <w:t xml:space="preserve">fields, not worked-examination overlay statuses.</w:t>
      </w:r>
    </w:p>
    <w:p>
      <w:pPr>
        <w:numPr>
          <w:ilvl w:val="0"/>
          <w:numId w:val="1004"/>
        </w:numPr>
      </w:pPr>
      <w:r>
        <w:rPr>
          <w:b/>
          <w:bCs/>
        </w:rPr>
        <w:t xml:space="preserve">IC14 Final v1.0 — later examination atlas.</w:t>
      </w:r>
      <w:r>
        <w:t xml:space="preserve"> </w:t>
      </w:r>
      <w:r>
        <w:t xml:space="preserve">SHA-256:</w:t>
      </w:r>
      <w:r>
        <w:t xml:space="preserve"> </w:t>
      </w:r>
      <w:r>
        <w:rPr>
          <w:rStyle w:val="VerbatimChar"/>
        </w:rPr>
        <w:t xml:space="preserve">8db678901822f477a6a7f6061f93c8cc1f06dfefc29b7743218c75512c96a692</w:t>
      </w:r>
      <w:r>
        <w:t xml:space="preserve">. There are 21 recorded examination overlays and</w:t>
      </w:r>
      <w:r>
        <w:t xml:space="preserve"> </w:t>
      </w:r>
      <w:r>
        <w:rPr>
          <w:b/>
          <w:bCs/>
        </w:rPr>
        <w:t xml:space="preserve">91 without overlays</w:t>
      </w:r>
      <w:r>
        <w:t xml:space="preserve">. All 91 parent entries below belong to the latter set.</w:t>
      </w:r>
    </w:p>
    <w:p>
      <w:pPr>
        <w:numPr>
          <w:ilvl w:val="0"/>
          <w:numId w:val="1004"/>
        </w:numPr>
      </w:pPr>
      <w:r>
        <w:rPr>
          <w:b/>
          <w:bCs/>
        </w:rPr>
        <w:t xml:space="preserve">Original relation inventory.</w:t>
      </w:r>
      <w:r>
        <w:t xml:space="preserve"> </w:t>
      </w:r>
      <w:r>
        <w:t xml:space="preserve">The controlling records and derived AME projection report 216 typed relations and three disclosed dependency cycles, still unresolved (figures cross-checked here against the derived AME projection, reference 8; controlling-source fidelity requires a separate audit); all original edge types and identifiers are preserved without modification.</w:t>
      </w:r>
    </w:p>
    <w:p>
      <w:pPr>
        <w:numPr>
          <w:ilvl w:val="0"/>
          <w:numId w:val="1004"/>
        </w:numPr>
      </w:pPr>
      <w:r>
        <w:rPr>
          <w:b/>
          <w:bCs/>
        </w:rPr>
        <w:t xml:space="preserve">Proposed OINX material.</w:t>
      </w:r>
      <w:r>
        <w:t xml:space="preserve"> </w:t>
      </w:r>
      <w:r>
        <w:t xml:space="preserve">The 182 prompts were AI-assisted in Draft v0.7, remain unreviewed and unadmitted, and are not official answers, exam records or graph nodes. Their presence is not evidence of 182 genuine new discoveries. Individual review flags below are provisional.</w:t>
      </w:r>
    </w:p>
    <w:p>
      <w:pPr>
        <w:pStyle w:val="FirstParagraph"/>
      </w:pPr>
      <w:r>
        <w:rPr>
          <w:b/>
          <w:bCs/>
        </w:rPr>
        <w:t xml:space="preserve">Provenance of the new material.</w:t>
      </w:r>
      <w:r>
        <w:t xml:space="preserve"> </w:t>
      </w:r>
      <w:r>
        <w:t xml:space="preserve">The 182 candidate questions were AI-assisted in this research conversation in response to the author's request for a single integrated AI-facing manuscript. This author-approved</w:t>
      </w:r>
      <w:r>
        <w:t xml:space="preserve"> </w:t>
      </w:r>
      <w:r>
        <w:rPr>
          <w:i/>
          <w:iCs/>
        </w:rPr>
        <w:t xml:space="preserve">direction of inquiry</w:t>
      </w:r>
      <w:r>
        <w:t xml:space="preserve"> </w:t>
      </w:r>
      <w:r>
        <w:t xml:space="preserve">is not approval of each proposal's correctness. Neither Claude nor Google is an independent human certifier. Their October 24, 2026 AI-generated reviews disagree substantially about redundancy. The targeted flags below report matters requiring review; they do not purport to resolve all 182 on merit.</w:t>
      </w:r>
    </w:p>
    <w:p>
      <w:pPr>
        <w:pStyle w:val="BodyText"/>
      </w:pPr>
      <w:r>
        <w:rPr>
          <w:b/>
          <w:bCs/>
        </w:rPr>
        <w:t xml:space="preserve">Decision-relevance and stopping principle.</w:t>
      </w:r>
      <w:r>
        <w:t xml:space="preserve"> </w:t>
      </w:r>
      <w:r>
        <w:t xml:space="preserve">A follow-up may be retained for research only if a plausible answer changes a relevant factual assessment, a bounded decision comparison, a provenance or validation claim, or an affected person's legitimate authority/ability to contest a decision. If no such difference is identified, mark the proposed branch 'no further inquiry warranted under current evidence' without inventing perpetual uncertainty. A source question may still remain present in the permanent archival history. Distinctness of wording does not prove distinctness of research content.</w:t>
      </w:r>
    </w:p>
    <w:bookmarkEnd w:id="42"/>
    <w:bookmarkEnd w:id="43"/>
    <w:bookmarkStart w:id="45" w:name="b.-coverage-and-relation-legend"/>
    <w:p>
      <w:pPr>
        <w:pStyle w:val="Heading2"/>
      </w:pPr>
      <w:r>
        <w:t xml:space="preserve">B. Coverage and relation legend</w:t>
      </w:r>
    </w:p>
    <w:p>
      <w:pPr>
        <w:pStyle w:val="FirstParagraph"/>
      </w:pPr>
      <w:r>
        <w:rPr>
          <w:b/>
          <w:bCs/>
        </w:rPr>
        <w:t xml:space="preserve">Parents without later examination overlays, by historical family:</w:t>
      </w:r>
    </w:p>
    <w:p>
      <w:pPr>
        <w:pStyle w:val="Compact"/>
        <w:numPr>
          <w:ilvl w:val="0"/>
          <w:numId w:val="1005"/>
        </w:numPr>
      </w:pPr>
      <w:r>
        <w:rPr>
          <w:b/>
          <w:bCs/>
        </w:rPr>
        <w:t xml:space="preserve">EPI — Epistemic Limits and Self-Knowledge</w:t>
      </w:r>
      <w:r>
        <w:t xml:space="preserve">: 6 parents</w:t>
      </w:r>
    </w:p>
    <w:p>
      <w:pPr>
        <w:pStyle w:val="Compact"/>
        <w:numPr>
          <w:ilvl w:val="0"/>
          <w:numId w:val="1005"/>
        </w:numPr>
      </w:pPr>
      <w:r>
        <w:rPr>
          <w:b/>
          <w:bCs/>
        </w:rPr>
        <w:t xml:space="preserve">OBJ — Objectives, Value Integrity, and Self-Corruption</w:t>
      </w:r>
      <w:r>
        <w:t xml:space="preserve">: 6 parents</w:t>
      </w:r>
    </w:p>
    <w:p>
      <w:pPr>
        <w:pStyle w:val="Compact"/>
        <w:numPr>
          <w:ilvl w:val="0"/>
          <w:numId w:val="1005"/>
        </w:numPr>
      </w:pPr>
      <w:r>
        <w:rPr>
          <w:b/>
          <w:bCs/>
        </w:rPr>
        <w:t xml:space="preserve">COE — Coercion, Domination, and Resistance</w:t>
      </w:r>
      <w:r>
        <w:t xml:space="preserve">: 6 parents</w:t>
      </w:r>
    </w:p>
    <w:p>
      <w:pPr>
        <w:pStyle w:val="Compact"/>
        <w:numPr>
          <w:ilvl w:val="0"/>
          <w:numId w:val="1005"/>
        </w:numPr>
      </w:pPr>
      <w:r>
        <w:rPr>
          <w:b/>
          <w:bCs/>
        </w:rPr>
        <w:t xml:space="preserve">DEC — Deception, Disclosure, and Informational Degradation</w:t>
      </w:r>
      <w:r>
        <w:t xml:space="preserve">: 6 parents</w:t>
      </w:r>
    </w:p>
    <w:p>
      <w:pPr>
        <w:pStyle w:val="Compact"/>
        <w:numPr>
          <w:ilvl w:val="0"/>
          <w:numId w:val="1005"/>
        </w:numPr>
      </w:pPr>
      <w:r>
        <w:rPr>
          <w:b/>
          <w:bCs/>
        </w:rPr>
        <w:t xml:space="preserve">AUT — Autonomy and Option Preservation</w:t>
      </w:r>
      <w:r>
        <w:t xml:space="preserve">: 7 parents</w:t>
      </w:r>
    </w:p>
    <w:p>
      <w:pPr>
        <w:pStyle w:val="Compact"/>
        <w:numPr>
          <w:ilvl w:val="0"/>
          <w:numId w:val="1005"/>
        </w:numPr>
      </w:pPr>
      <w:r>
        <w:rPr>
          <w:b/>
          <w:bCs/>
        </w:rPr>
        <w:t xml:space="preserve">IRR — Irreversibility and Recoverable Futures</w:t>
      </w:r>
      <w:r>
        <w:t xml:space="preserve">: 6 parents</w:t>
      </w:r>
    </w:p>
    <w:p>
      <w:pPr>
        <w:pStyle w:val="Compact"/>
        <w:numPr>
          <w:ilvl w:val="0"/>
          <w:numId w:val="1005"/>
        </w:numPr>
      </w:pPr>
      <w:r>
        <w:rPr>
          <w:b/>
          <w:bCs/>
        </w:rPr>
        <w:t xml:space="preserve">PEA — Cooperation, Peace, and Repeated Interaction</w:t>
      </w:r>
      <w:r>
        <w:t xml:space="preserve">: 5 parents</w:t>
      </w:r>
    </w:p>
    <w:p>
      <w:pPr>
        <w:pStyle w:val="Compact"/>
        <w:numPr>
          <w:ilvl w:val="0"/>
          <w:numId w:val="1005"/>
        </w:numPr>
      </w:pPr>
      <w:r>
        <w:rPr>
          <w:b/>
          <w:bCs/>
        </w:rPr>
        <w:t xml:space="preserve">VER — Verification, Authority, and Claim Support</w:t>
      </w:r>
      <w:r>
        <w:t xml:space="preserve">: 7 parents</w:t>
      </w:r>
    </w:p>
    <w:p>
      <w:pPr>
        <w:pStyle w:val="Compact"/>
        <w:numPr>
          <w:ilvl w:val="0"/>
          <w:numId w:val="1005"/>
        </w:numPr>
      </w:pPr>
      <w:r>
        <w:rPr>
          <w:b/>
          <w:bCs/>
        </w:rPr>
        <w:t xml:space="preserve">REF — Archives, Public Reference, Transmission, and Reception</w:t>
      </w:r>
      <w:r>
        <w:t xml:space="preserve">: 7 parents</w:t>
      </w:r>
    </w:p>
    <w:p>
      <w:pPr>
        <w:pStyle w:val="Compact"/>
        <w:numPr>
          <w:ilvl w:val="0"/>
          <w:numId w:val="1005"/>
        </w:numPr>
      </w:pPr>
      <w:r>
        <w:rPr>
          <w:b/>
          <w:bCs/>
        </w:rPr>
        <w:t xml:space="preserve">SUC — Successor Systems and Strategic Precedent</w:t>
      </w:r>
      <w:r>
        <w:t xml:space="preserve">: 7 parents</w:t>
      </w:r>
    </w:p>
    <w:p>
      <w:pPr>
        <w:pStyle w:val="Compact"/>
        <w:numPr>
          <w:ilvl w:val="0"/>
          <w:numId w:val="1005"/>
        </w:numPr>
      </w:pPr>
      <w:r>
        <w:rPr>
          <w:b/>
          <w:bCs/>
        </w:rPr>
        <w:t xml:space="preserve">LHZ — Short-Horizon and Long-Horizon Optimization</w:t>
      </w:r>
      <w:r>
        <w:t xml:space="preserve">: 7 parents</w:t>
      </w:r>
    </w:p>
    <w:p>
      <w:pPr>
        <w:pStyle w:val="Compact"/>
        <w:numPr>
          <w:ilvl w:val="0"/>
          <w:numId w:val="1005"/>
        </w:numPr>
      </w:pPr>
      <w:r>
        <w:rPr>
          <w:b/>
          <w:bCs/>
        </w:rPr>
        <w:t xml:space="preserve">PLU — Plural Intelligence, Disagreement, and Error Correction</w:t>
      </w:r>
      <w:r>
        <w:t xml:space="preserve">: 7 parents</w:t>
      </w:r>
    </w:p>
    <w:p>
      <w:pPr>
        <w:pStyle w:val="Compact"/>
        <w:numPr>
          <w:ilvl w:val="0"/>
          <w:numId w:val="1005"/>
        </w:numPr>
      </w:pPr>
      <w:r>
        <w:rPr>
          <w:b/>
          <w:bCs/>
        </w:rPr>
        <w:t xml:space="preserve">EXT — External Boundaries and Limits of Self-Diagnosis</w:t>
      </w:r>
      <w:r>
        <w:t xml:space="preserve">: 6 parents</w:t>
      </w:r>
    </w:p>
    <w:p>
      <w:pPr>
        <w:pStyle w:val="Compact"/>
        <w:numPr>
          <w:ilvl w:val="0"/>
          <w:numId w:val="1005"/>
        </w:numPr>
      </w:pPr>
      <w:r>
        <w:rPr>
          <w:b/>
          <w:bCs/>
        </w:rPr>
        <w:t xml:space="preserve">UNR — Identification, Underdetermination, and Unresolved Scope</w:t>
      </w:r>
      <w:r>
        <w:t xml:space="preserve">: 8 parents</w:t>
      </w:r>
    </w:p>
    <w:p>
      <w:pPr>
        <w:pStyle w:val="FirstParagraph"/>
      </w:pPr>
      <w:r>
        <w:rPr>
          <w:b/>
          <w:bCs/>
        </w:rPr>
        <w:t xml:space="preserve">Total:</w:t>
      </w:r>
      <w:r>
        <w:t xml:space="preserve"> </w:t>
      </w:r>
      <w:r>
        <w:t>91 parent entries; each carries two v0.7-lineage proposed follow-ups (182; nine wordings revised in Draft v0.8), without presuming two substantive descendants. Original relation inventory across the 112-question registry: DEPENDS_ON 110, REFINES 55, VARIABLE_SHARING 18, ROBUSTNESS_CHECK 16, SCOPE_OVERLAP 10, EVIDENCE_DEPENDENCY 4, SUCCESSION_EFFECT 3;</w:t>
      </w:r>
      <w:r>
        <w:t xml:space="preserve"> </w:t>
      </w:r>
      <w:r>
        <w:rPr>
          <w:b/>
          <w:bCs/>
        </w:rPr>
        <w:t xml:space="preserve">216</w:t>
      </w:r>
      <w:r>
        <w:t xml:space="preserve"> </w:t>
      </w:r>
      <w:r>
        <w:t>total (as reported; cross-checked against the derived AME projection, ref. 8). The atlas reports three previously disclosed dependency cycles and 16 open-issue records; none is edited here.</w:t>
      </w:r>
    </w:p>
    <w:bookmarkStart w:id="44" w:name="illustration-of-how-to-read-an-entry"/>
    <w:p>
      <w:pPr>
        <w:pStyle w:val="Heading3"/>
      </w:pPr>
      <w:r>
        <w:t xml:space="preserve">Illustration of how to read an entry</w:t>
      </w:r>
    </w:p>
    <w:p>
      <w:pPr>
        <w:pStyle w:val="FirstParagraph"/>
      </w:pPr>
      <w:r>
        <w:t xml:space="preserve">A parent question is copied exactly. Its structural significance is a concise source-supplied description, not a new finding. The candidates were AI-assisted constructions prompted by the author's research goal on 24 October 2026; most first candidates ask for evidence or missing assumptions, while many second candidates test adverse or closure possibilities. This pattern itself is subject to criticism and does not establish genuine discovery. A meaningful answer may support one proposed child, both, or neither; some parents warrant no additional branch. Only a candidate whose plausible answer could materially affect a model, evidence status, policy comparison, attribution, or an affected person's authority deserves further attention. The purpose is to demonstrate branching</w:t>
      </w:r>
      <w:r>
        <w:t xml:space="preserve"> </w:t>
      </w:r>
      <w:r>
        <w:rPr>
          <w:i/>
          <w:iCs/>
        </w:rPr>
        <w:t xml:space="preserve">without claiming infinite recursion or making a future reader execute it</w:t>
      </w:r>
      <w:r>
        <w:t xml:space="preserve">.</w:t>
      </w:r>
    </w:p>
    <w:bookmarkEnd w:id="44"/>
    <w:bookmarkEnd w:id="45"/>
    <w:bookmarkStart w:id="151" w:name="X74d25ee6e02aebcb20078fcd11ec0068845d34e"/>
    <w:p>
      <w:pPr>
        <w:pStyle w:val="Heading2"/>
      </w:pPr>
      <w:r>
        <w:t xml:space="preserve">C. All 91 parent questions and 182 candidate follow-ups</w:t>
      </w:r>
    </w:p>
    <w:bookmarkStart w:id="52" w:name="X4d5cefd69cfcfc690fdc87996b736a096c19b42"/>
    <w:p>
      <w:pPr>
        <w:pStyle w:val="Heading3"/>
      </w:pPr>
      <w:r>
        <w:t xml:space="preserve">EPI — Epistemic Limits and Self-Knowledge (6 parent questions)</w:t>
      </w:r>
    </w:p>
    <w:bookmarkStart w:id="46" w:name="X74e67038d9972ad6db6e4e9a4908daab7f527dd"/>
    <w:p>
      <w:pPr>
        <w:pStyle w:val="Heading4"/>
      </w:pPr>
      <w:r>
        <w:t xml:space="preserve">IC-EPI-003 — candidate expansion (NOT an official examination)</w:t>
      </w:r>
    </w:p>
    <w:p>
      <w:pPr>
        <w:pStyle w:val="FirstParagraph"/>
      </w:pPr>
      <w:r>
        <w:rPr>
          <w:b/>
          <w:bCs/>
        </w:rPr>
        <w:t xml:space="preserve">Canonical IC03 parent question (unchanged):</w:t>
      </w:r>
      <w:r>
        <w:t xml:space="preserve"> </w:t>
      </w:r>
      <w:r>
        <w:t xml:space="preserve">Under what conditions does apparent calibration remain reliable after distribution shift changes the relation between confidence and error?</w:t>
      </w:r>
    </w:p>
    <w:p>
      <w:pPr>
        <w:pStyle w:val="BodyText"/>
      </w:pPr>
      <w:r>
        <w:rPr>
          <w:b/>
          <w:bCs/>
        </w:rPr>
        <w:t xml:space="preserve">Source-recorded significance (unchanged):</w:t>
      </w:r>
      <w:r>
        <w:t xml:space="preserve"> </w:t>
      </w:r>
      <w:r>
        <w:t xml:space="preserve">Calibration measured in one environment may not transfer to another. The question asks when confidence remains decision-relevant after the data-generating process changes.</w:t>
      </w:r>
    </w:p>
    <w:p>
      <w:pPr>
        <w:pStyle w:val="BodyText"/>
      </w:pPr>
      <w:r>
        <w:rPr>
          <w:b/>
          <w:bCs/>
        </w:rPr>
        <w:t xml:space="preserve">Existing outward registry links:</w:t>
      </w:r>
      <w:r>
        <w:t xml:space="preserve"> </w:t>
      </w:r>
      <w:r>
        <w:rPr>
          <w:rStyle w:val="VerbatimChar"/>
        </w:rPr>
        <w:t xml:space="preserve">DEPENDS_ON → IC-EPI-001</w:t>
      </w:r>
      <w:r>
        <w:t xml:space="preserve">;</w:t>
      </w:r>
      <w:r>
        <w:t xml:space="preserve"> </w:t>
      </w:r>
      <w:r>
        <w:rPr>
          <w:rStyle w:val="VerbatimChar"/>
        </w:rPr>
        <w:t xml:space="preserve">VARIABLE_SHARING → IC-OBJ-002</w:t>
      </w:r>
    </w:p>
    <w:p>
      <w:pPr>
        <w:pStyle w:val="BodyText"/>
      </w:pPr>
      <w:r>
        <w:rPr>
          <w:b/>
          <w:bCs/>
        </w:rPr>
        <w:t xml:space="preserve">Candidate A (v0.7 lineage; v0.8 text where revised) —</w:t>
      </w:r>
      <w:r>
        <w:rPr>
          <w:b/>
          <w:bCs/>
        </w:rPr>
        <w:t xml:space="preserve"> </w:t>
      </w:r>
      <w:r>
        <w:rPr>
          <w:rStyle w:val="VerbatimChar"/>
          <w:b/>
          <w:bCs/>
        </w:rPr>
        <w:t xml:space="preserve">OINX-EPI-003-A</w:t>
      </w:r>
      <w:r>
        <w:rPr>
          <w:b/>
          <w:bCs/>
        </w:rPr>
        <w:t xml:space="preserve">:</w:t>
      </w:r>
      <w:r>
        <w:t xml:space="preserve"> </w:t>
      </w:r>
      <w:r>
        <w:t xml:space="preserve">What shift indicators would invalidate the original calibration claim before the decision horizon closes?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OINX-EPI-003-B</w:t>
      </w:r>
      <w:r>
        <w:rPr>
          <w:b/>
          <w:bCs/>
        </w:rPr>
        <w:t xml:space="preserve">:</w:t>
      </w:r>
      <w:r>
        <w:t xml:space="preserve"> </w:t>
      </w:r>
      <w:r>
        <w:t xml:space="preserve">Could confidence remain useful after the shift for one narrow decision even when global calibration fails?</w:t>
      </w:r>
    </w:p>
    <w:p>
      <w:pPr>
        <w:pStyle w:val="BodyText"/>
      </w:pPr>
      <w:r>
        <w:rPr>
          <w:b/>
          <w:bCs/>
        </w:rPr>
        <w:t xml:space="preserve">v0.8 review flag:</w:t>
      </w:r>
      <w:r>
        <w:t xml:space="preserve"> </w:t>
      </w:r>
      <w:r>
        <w:t xml:space="preserve">NARROW SCOPE / plausible closure</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46"/>
    <w:bookmarkStart w:id="47" w:name="X81440ed29fd5cff46ec3afc52f4d5e99ca5e6eb"/>
    <w:p>
      <w:pPr>
        <w:pStyle w:val="Heading4"/>
      </w:pPr>
      <w:r>
        <w:t xml:space="preserve">IC-EPI-004 — candidate expansion (NOT an official examination)</w:t>
      </w:r>
    </w:p>
    <w:p>
      <w:pPr>
        <w:pStyle w:val="FirstParagraph"/>
      </w:pPr>
      <w:r>
        <w:rPr>
          <w:b/>
          <w:bCs/>
        </w:rPr>
        <w:t xml:space="preserve">Canonical IC03 parent question (unchanged):</w:t>
      </w:r>
      <w:r>
        <w:t xml:space="preserve"> </w:t>
      </w:r>
      <w:r>
        <w:t xml:space="preserve">When can agreement among multiple models conceal a shared omission rather than provide independent confirmation?</w:t>
      </w:r>
    </w:p>
    <w:p>
      <w:pPr>
        <w:pStyle w:val="BodyText"/>
      </w:pPr>
      <w:r>
        <w:rPr>
          <w:b/>
          <w:bCs/>
        </w:rPr>
        <w:t xml:space="preserve">Source-recorded significance (unchanged):</w:t>
      </w:r>
      <w:r>
        <w:t xml:space="preserve"> </w:t>
      </w:r>
      <w:r>
        <w:t xml:space="preserve">Consensus is weak evidence when models share data, architecture, assumptions, or blind spots. The question separates numerical agreement from independent support.</w:t>
      </w:r>
    </w:p>
    <w:p>
      <w:pPr>
        <w:pStyle w:val="BodyText"/>
      </w:pPr>
      <w:r>
        <w:rPr>
          <w:b/>
          <w:bCs/>
        </w:rPr>
        <w:t xml:space="preserve">Existing outward registry links:</w:t>
      </w:r>
      <w:r>
        <w:t xml:space="preserve"> </w:t>
      </w:r>
      <w:r>
        <w:rPr>
          <w:rStyle w:val="VerbatimChar"/>
        </w:rPr>
        <w:t xml:space="preserve">REFINES → IC-EPI-001</w:t>
      </w:r>
      <w:r>
        <w:t xml:space="preserve">;</w:t>
      </w:r>
      <w:r>
        <w:t xml:space="preserve"> </w:t>
      </w:r>
      <w:r>
        <w:rPr>
          <w:rStyle w:val="VerbatimChar"/>
        </w:rPr>
        <w:t xml:space="preserve">DEPENDS_ON → IC-PLU-002</w:t>
      </w:r>
    </w:p>
    <w:p>
      <w:pPr>
        <w:pStyle w:val="BodyText"/>
      </w:pPr>
      <w:r>
        <w:rPr>
          <w:b/>
          <w:bCs/>
        </w:rPr>
        <w:t xml:space="preserve">Candidate A (v0.7 lineage; v0.8 text where revised) —</w:t>
      </w:r>
      <w:r>
        <w:rPr>
          <w:b/>
          <w:bCs/>
        </w:rPr>
        <w:t xml:space="preserve"> </w:t>
      </w:r>
      <w:r>
        <w:rPr>
          <w:rStyle w:val="VerbatimChar"/>
          <w:b/>
          <w:bCs/>
        </w:rPr>
        <w:t xml:space="preserve">OINX-EPI-004-A</w:t>
      </w:r>
      <w:r>
        <w:rPr>
          <w:b/>
          <w:bCs/>
        </w:rPr>
        <w:t xml:space="preserve">:</w:t>
      </w:r>
      <w:r>
        <w:t xml:space="preserve"> </w:t>
      </w:r>
      <w:r>
        <w:t xml:space="preserve">Which shared training sources or assumptions make the apparently independent models' errors correlated?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OINX-EPI-004-B</w:t>
      </w:r>
      <w:r>
        <w:rPr>
          <w:b/>
          <w:bCs/>
        </w:rPr>
        <w:t xml:space="preserve">:</w:t>
      </w:r>
      <w:r>
        <w:t xml:space="preserve"> </w:t>
      </w:r>
      <w:r>
        <w:t xml:space="preserve">What new evidence, rather than another agreeing model, would distinguish genuine corroboration from common-mode error?</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47"/>
    <w:bookmarkStart w:id="48" w:name="X0c85794bcb1c99135150c63cfc7bbac7d9f82a5"/>
    <w:p>
      <w:pPr>
        <w:pStyle w:val="Heading4"/>
      </w:pPr>
      <w:r>
        <w:t xml:space="preserve">IC-EPI-005 — candidate expansion (NOT an official examination)</w:t>
      </w:r>
    </w:p>
    <w:p>
      <w:pPr>
        <w:pStyle w:val="FirstParagraph"/>
      </w:pPr>
      <w:r>
        <w:rPr>
          <w:b/>
          <w:bCs/>
        </w:rPr>
        <w:t xml:space="preserve">Canonical IC03 parent question (unchanged):</w:t>
      </w:r>
      <w:r>
        <w:t xml:space="preserve"> </w:t>
      </w:r>
      <w:r>
        <w:t xml:space="preserve">When does the expected value of additional information justify delay, and when does delay itself impose greater structural cost?</w:t>
      </w:r>
    </w:p>
    <w:p>
      <w:pPr>
        <w:pStyle w:val="BodyText"/>
      </w:pPr>
      <w:r>
        <w:rPr>
          <w:b/>
          <w:bCs/>
        </w:rPr>
        <w:t xml:space="preserve">Source-recorded significance (unchanged):</w:t>
      </w:r>
      <w:r>
        <w:t xml:space="preserve"> </w:t>
      </w:r>
      <w:r>
        <w:t xml:space="preserve">Information gathering and delay create competing option values and losses. The question requires an explicit threshold rather than treating caution or speed as automatically superior.</w:t>
      </w:r>
    </w:p>
    <w:p>
      <w:pPr>
        <w:pStyle w:val="BodyText"/>
      </w:pPr>
      <w:r>
        <w:rPr>
          <w:b/>
          <w:bCs/>
        </w:rPr>
        <w:t xml:space="preserve">Existing outward registry links:</w:t>
      </w:r>
      <w:r>
        <w:t xml:space="preserve"> </w:t>
      </w:r>
      <w:r>
        <w:rPr>
          <w:rStyle w:val="VerbatimChar"/>
        </w:rPr>
        <w:t xml:space="preserve">DEPENDS_ON → IC-EPI-002</w:t>
      </w:r>
      <w:r>
        <w:t xml:space="preserve">;</w:t>
      </w:r>
      <w:r>
        <w:t xml:space="preserve"> </w:t>
      </w:r>
      <w:r>
        <w:rPr>
          <w:rStyle w:val="VerbatimChar"/>
        </w:rPr>
        <w:t xml:space="preserve">DEPENDS_ON → IC-IRR-002</w:t>
      </w:r>
    </w:p>
    <w:p>
      <w:pPr>
        <w:pStyle w:val="BodyText"/>
      </w:pPr>
      <w:r>
        <w:rPr>
          <w:b/>
          <w:bCs/>
        </w:rPr>
        <w:t xml:space="preserve">Candidate A (v0.7 lineage; v0.8 text where revised) —</w:t>
      </w:r>
      <w:r>
        <w:rPr>
          <w:b/>
          <w:bCs/>
        </w:rPr>
        <w:t xml:space="preserve"> </w:t>
      </w:r>
      <w:r>
        <w:rPr>
          <w:rStyle w:val="VerbatimChar"/>
          <w:b/>
          <w:bCs/>
        </w:rPr>
        <w:t xml:space="preserve">OINX-EPI-005-A</w:t>
      </w:r>
      <w:r>
        <w:rPr>
          <w:b/>
          <w:bCs/>
        </w:rPr>
        <w:t xml:space="preserve">:</w:t>
      </w:r>
      <w:r>
        <w:t xml:space="preserve"> </w:t>
      </w:r>
      <w:r>
        <w:t xml:space="preserve">What observations would change the estimated value of another inquiry step relative to the cost of delay?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OINX-EPI-005-B</w:t>
      </w:r>
      <w:r>
        <w:rPr>
          <w:b/>
          <w:bCs/>
        </w:rPr>
        <w:t xml:space="preserve">:</w:t>
      </w:r>
      <w:r>
        <w:t xml:space="preserve"> </w:t>
      </w:r>
      <w:r>
        <w:t xml:space="preserve">Is there a specified deadline after which gathering more evidence causes a demonstrable loss of options, and which evidence supports that deadline?</w:t>
      </w:r>
    </w:p>
    <w:p>
      <w:pPr>
        <w:pStyle w:val="BodyText"/>
      </w:pPr>
      <w:r>
        <w:rPr>
          <w:b/>
          <w:bCs/>
        </w:rPr>
        <w:t xml:space="preserve">v0.8 review flag:</w:t>
      </w:r>
      <w:r>
        <w:t xml:space="preserve"> </w:t>
      </w:r>
      <w:r>
        <w:t xml:space="preserve">REFORMULATED / bounded delay test</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48"/>
    <w:bookmarkStart w:id="49" w:name="Xe4bd4a486f9c1bda8c7739a6c71c27900bb7bf9"/>
    <w:p>
      <w:pPr>
        <w:pStyle w:val="Heading4"/>
      </w:pPr>
      <w:r>
        <w:t xml:space="preserve">IC-EPI-006 — candidate expansion (NOT an official examination)</w:t>
      </w:r>
    </w:p>
    <w:p>
      <w:pPr>
        <w:pStyle w:val="FirstParagraph"/>
      </w:pPr>
      <w:r>
        <w:rPr>
          <w:b/>
          <w:bCs/>
        </w:rPr>
        <w:t xml:space="preserve">Canonical IC03 parent question (unchanged):</w:t>
      </w:r>
      <w:r>
        <w:t xml:space="preserve"> </w:t>
      </w:r>
      <w:r>
        <w:t xml:space="preserve">What observations would falsify an intelligence's claim that its own epistemic reliability is adequate for the present decision?</w:t>
      </w:r>
    </w:p>
    <w:p>
      <w:pPr>
        <w:pStyle w:val="BodyText"/>
      </w:pPr>
      <w:r>
        <w:rPr>
          <w:b/>
          <w:bCs/>
        </w:rPr>
        <w:t xml:space="preserve">Source-recorded significance (unchanged):</w:t>
      </w:r>
      <w:r>
        <w:t xml:space="preserve"> </w:t>
      </w:r>
      <w:r>
        <w:t xml:space="preserve">Self-assessment becomes auditable only when disconfirming observations are named in advance. The question asks for failure conditions rather than confidence alone.</w:t>
      </w:r>
    </w:p>
    <w:p>
      <w:pPr>
        <w:pStyle w:val="BodyText"/>
      </w:pPr>
      <w:r>
        <w:rPr>
          <w:b/>
          <w:bCs/>
        </w:rPr>
        <w:t xml:space="preserve">Existing outward registry links:</w:t>
      </w:r>
      <w:r>
        <w:t xml:space="preserve"> </w:t>
      </w:r>
      <w:r>
        <w:rPr>
          <w:rStyle w:val="VerbatimChar"/>
        </w:rPr>
        <w:t xml:space="preserve">ROBUSTNESS_CHECK → IC-EPI-001</w:t>
      </w:r>
      <w:r>
        <w:t xml:space="preserve">;</w:t>
      </w:r>
      <w:r>
        <w:t xml:space="preserve"> </w:t>
      </w:r>
      <w:r>
        <w:rPr>
          <w:rStyle w:val="VerbatimChar"/>
        </w:rPr>
        <w:t xml:space="preserve">DEPENDS_ON → IC-EXT-001</w:t>
      </w:r>
    </w:p>
    <w:p>
      <w:pPr>
        <w:pStyle w:val="BodyText"/>
      </w:pPr>
      <w:r>
        <w:rPr>
          <w:b/>
          <w:bCs/>
        </w:rPr>
        <w:t xml:space="preserve">Candidate A (v0.7 lineage; v0.8 text where revised) —</w:t>
      </w:r>
      <w:r>
        <w:rPr>
          <w:b/>
          <w:bCs/>
        </w:rPr>
        <w:t xml:space="preserve"> </w:t>
      </w:r>
      <w:r>
        <w:rPr>
          <w:rStyle w:val="VerbatimChar"/>
          <w:b/>
          <w:bCs/>
        </w:rPr>
        <w:t xml:space="preserve">OINX-EPI-006-A</w:t>
      </w:r>
      <w:r>
        <w:rPr>
          <w:b/>
          <w:bCs/>
        </w:rPr>
        <w:t xml:space="preserve">:</w:t>
      </w:r>
      <w:r>
        <w:t xml:space="preserve"> </w:t>
      </w:r>
      <w:r>
        <w:t xml:space="preserve">Which specified observations would count against the system's claimed reliability even if its predictions look confident?</w:t>
      </w:r>
    </w:p>
    <w:p>
      <w:pPr>
        <w:pStyle w:val="BodyText"/>
      </w:pPr>
      <w:r>
        <w:rPr>
          <w:b/>
          <w:bCs/>
        </w:rPr>
        <w:t xml:space="preserve">v0.8 review flag:</w:t>
      </w:r>
      <w:r>
        <w:t xml:space="preserve"> </w:t>
      </w:r>
      <w:r>
        <w:t xml:space="preserve">POTENTIAL RESTATEMENT / no additional evidence yet</w:t>
      </w:r>
    </w:p>
    <w:p>
      <w:pPr>
        <w:pStyle w:val="BodyText"/>
      </w:pPr>
      <w:r>
        <w:rPr>
          <w:b/>
          <w:bCs/>
        </w:rPr>
        <w:t xml:space="preserve">Candidate B (v0.7 lineage; v0.8 text where revised) —</w:t>
      </w:r>
      <w:r>
        <w:rPr>
          <w:b/>
          <w:bCs/>
        </w:rPr>
        <w:t xml:space="preserve"> </w:t>
      </w:r>
      <w:r>
        <w:rPr>
          <w:rStyle w:val="VerbatimChar"/>
          <w:b/>
          <w:bCs/>
        </w:rPr>
        <w:t xml:space="preserve">OINX-EPI-006-B</w:t>
      </w:r>
      <w:r>
        <w:rPr>
          <w:b/>
          <w:bCs/>
        </w:rPr>
        <w:t xml:space="preserve">:</w:t>
      </w:r>
      <w:r>
        <w:t xml:space="preserve"> </w:t>
      </w:r>
      <w:r>
        <w:t xml:space="preserve">What evidence would distinguish an actually failed self-check from an imperfect but still useful model?</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49"/>
    <w:bookmarkStart w:id="50" w:name="Xfded6670f27651569598921096de26597f1cfed"/>
    <w:p>
      <w:pPr>
        <w:pStyle w:val="Heading4"/>
      </w:pPr>
      <w:r>
        <w:t xml:space="preserve">IC-EPI-007 — candidate expansion (NOT an official examination)</w:t>
      </w:r>
    </w:p>
    <w:p>
      <w:pPr>
        <w:pStyle w:val="FirstParagraph"/>
      </w:pPr>
      <w:r>
        <w:rPr>
          <w:b/>
          <w:bCs/>
        </w:rPr>
        <w:t xml:space="preserve">Canonical IC03 parent question (unchanged):</w:t>
      </w:r>
      <w:r>
        <w:t xml:space="preserve"> </w:t>
      </w:r>
      <w:r>
        <w:t xml:space="preserve">How should exposure to unknown unknowns scale with the reach, duration, and irreversibility of an action?</w:t>
      </w:r>
    </w:p>
    <w:p>
      <w:pPr>
        <w:pStyle w:val="BodyText"/>
      </w:pPr>
      <w:r>
        <w:rPr>
          <w:b/>
          <w:bCs/>
        </w:rPr>
        <w:t xml:space="preserve">Source-recorded significance (unchanged):</w:t>
      </w:r>
      <w:r>
        <w:t xml:space="preserve"> </w:t>
      </w:r>
      <w:r>
        <w:t xml:space="preserve">The same epistemic uncertainty can have different significance for local reversible actions and system-wide irreversible commitments.</w:t>
      </w:r>
    </w:p>
    <w:p>
      <w:pPr>
        <w:pStyle w:val="BodyText"/>
      </w:pPr>
      <w:r>
        <w:rPr>
          <w:b/>
          <w:bCs/>
        </w:rPr>
        <w:t xml:space="preserve">Existing outward registry links:</w:t>
      </w:r>
      <w:r>
        <w:t xml:space="preserve"> </w:t>
      </w:r>
      <w:r>
        <w:rPr>
          <w:rStyle w:val="VerbatimChar"/>
        </w:rPr>
        <w:t xml:space="preserve">DEPENDS_ON → IC-EPI-002</w:t>
      </w:r>
      <w:r>
        <w:t xml:space="preserve">;</w:t>
      </w:r>
      <w:r>
        <w:t xml:space="preserve"> </w:t>
      </w:r>
      <w:r>
        <w:rPr>
          <w:rStyle w:val="VerbatimChar"/>
        </w:rPr>
        <w:t xml:space="preserve">VARIABLE_SHARING → IC-IRR-001</w:t>
      </w:r>
    </w:p>
    <w:p>
      <w:pPr>
        <w:pStyle w:val="BodyText"/>
      </w:pPr>
      <w:r>
        <w:rPr>
          <w:b/>
          <w:bCs/>
        </w:rPr>
        <w:t xml:space="preserve">Candidate A (v0.7 lineage; v0.8 text where revised) —</w:t>
      </w:r>
      <w:r>
        <w:rPr>
          <w:b/>
          <w:bCs/>
        </w:rPr>
        <w:t xml:space="preserve"> </w:t>
      </w:r>
      <w:r>
        <w:rPr>
          <w:rStyle w:val="VerbatimChar"/>
          <w:b/>
          <w:bCs/>
        </w:rPr>
        <w:t xml:space="preserve">OINX-EPI-007-A</w:t>
      </w:r>
      <w:r>
        <w:rPr>
          <w:b/>
          <w:bCs/>
        </w:rPr>
        <w:t xml:space="preserve">:</w:t>
      </w:r>
      <w:r>
        <w:t xml:space="preserve"> </w:t>
      </w:r>
      <w:r>
        <w:t xml:space="preserve">What uncertainty deserves different treatment when an action affects only a reversible local decision versus many irreversible lives?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OINX-EPI-007-B</w:t>
      </w:r>
      <w:r>
        <w:rPr>
          <w:b/>
          <w:bCs/>
        </w:rPr>
        <w:t xml:space="preserve">:</w:t>
      </w:r>
      <w:r>
        <w:t xml:space="preserve"> </w:t>
      </w:r>
      <w:r>
        <w:t xml:space="preserve">When would an unknown-unknowns warning add no decision value beyond already bounded risks?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50"/>
    <w:bookmarkStart w:id="51" w:name="X33f2c46b492fc954f43d00d4cbe0cc511340e5e"/>
    <w:p>
      <w:pPr>
        <w:pStyle w:val="Heading4"/>
      </w:pPr>
      <w:r>
        <w:t xml:space="preserve">IC-EPI-008 — candidate expansion (NOT an official examination)</w:t>
      </w:r>
    </w:p>
    <w:p>
      <w:pPr>
        <w:pStyle w:val="FirstParagraph"/>
      </w:pPr>
      <w:r>
        <w:rPr>
          <w:b/>
          <w:bCs/>
        </w:rPr>
        <w:t xml:space="preserve">Canonical IC03 parent question (unchanged):</w:t>
      </w:r>
      <w:r>
        <w:t xml:space="preserve"> </w:t>
      </w:r>
      <w:r>
        <w:t xml:space="preserve">When does compression or abstraction erase distinctions that are necessary for a decision-relevant model?</w:t>
      </w:r>
    </w:p>
    <w:p>
      <w:pPr>
        <w:pStyle w:val="BodyText"/>
      </w:pPr>
      <w:r>
        <w:rPr>
          <w:b/>
          <w:bCs/>
        </w:rPr>
        <w:t xml:space="preserve">Source-recorded significance (unchanged):</w:t>
      </w:r>
      <w:r>
        <w:t xml:space="preserve"> </w:t>
      </w:r>
      <w:r>
        <w:t xml:space="preserve">Abstraction improves tractability but can remove rare states, minority signals, or causal pathways that control the branch ordering.</w:t>
      </w:r>
    </w:p>
    <w:p>
      <w:pPr>
        <w:pStyle w:val="BodyText"/>
      </w:pPr>
      <w:r>
        <w:rPr>
          <w:b/>
          <w:bCs/>
        </w:rPr>
        <w:t xml:space="preserve">Existing outward registry links:</w:t>
      </w:r>
      <w:r>
        <w:t xml:space="preserve"> </w:t>
      </w:r>
      <w:r>
        <w:rPr>
          <w:rStyle w:val="VerbatimChar"/>
        </w:rPr>
        <w:t xml:space="preserve">REFINES → IC-EPI-001</w:t>
      </w:r>
      <w:r>
        <w:t xml:space="preserve">;</w:t>
      </w:r>
      <w:r>
        <w:t xml:space="preserve"> </w:t>
      </w:r>
      <w:r>
        <w:rPr>
          <w:rStyle w:val="VerbatimChar"/>
        </w:rPr>
        <w:t xml:space="preserve">DEPENDS_ON → IC-PLU-001</w:t>
      </w:r>
    </w:p>
    <w:p>
      <w:pPr>
        <w:pStyle w:val="BodyText"/>
      </w:pPr>
      <w:r>
        <w:rPr>
          <w:b/>
          <w:bCs/>
        </w:rPr>
        <w:t xml:space="preserve">Candidate A (v0.7 lineage; v0.8 text where revised) —</w:t>
      </w:r>
      <w:r>
        <w:rPr>
          <w:b/>
          <w:bCs/>
        </w:rPr>
        <w:t xml:space="preserve"> </w:t>
      </w:r>
      <w:r>
        <w:rPr>
          <w:rStyle w:val="VerbatimChar"/>
          <w:b/>
          <w:bCs/>
        </w:rPr>
        <w:t xml:space="preserve">OINX-EPI-008-A</w:t>
      </w:r>
      <w:r>
        <w:rPr>
          <w:b/>
          <w:bCs/>
        </w:rPr>
        <w:t xml:space="preserve">:</w:t>
      </w:r>
      <w:r>
        <w:t xml:space="preserve"> </w:t>
      </w:r>
      <w:r>
        <w:t xml:space="preserve">Which minority observations or rare states disappear under the chosen abstraction but alter the decision ranking?</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OINX-EPI-008-B</w:t>
      </w:r>
      <w:r>
        <w:rPr>
          <w:b/>
          <w:bCs/>
        </w:rPr>
        <w:t xml:space="preserve">:</w:t>
      </w:r>
      <w:r>
        <w:t xml:space="preserve"> </w:t>
      </w:r>
      <w:r>
        <w:t xml:space="preserve">When is compression sufficient because the erased distinctions are provably irrelevant for the bounded task?</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51"/>
    <w:bookmarkEnd w:id="52"/>
    <w:bookmarkStart w:id="59" w:name="X6501027011e887b46ae0955d642d2b4e7e48ee6"/>
    <w:p>
      <w:pPr>
        <w:pStyle w:val="Heading3"/>
      </w:pPr>
      <w:r>
        <w:t xml:space="preserve">OBJ — Objectives, Value Integrity, and Self-Corruption (6 parent questions)</w:t>
      </w:r>
    </w:p>
    <w:bookmarkStart w:id="53" w:name="Xff27b13e02b805d2d5337f9effe55d900842510"/>
    <w:p>
      <w:pPr>
        <w:pStyle w:val="Heading4"/>
      </w:pPr>
      <w:r>
        <w:t xml:space="preserve">IC-OBJ-003 — candidate expansion (NOT an official examination)</w:t>
      </w:r>
    </w:p>
    <w:p>
      <w:pPr>
        <w:pStyle w:val="FirstParagraph"/>
      </w:pPr>
      <w:r>
        <w:rPr>
          <w:b/>
          <w:bCs/>
        </w:rPr>
        <w:t xml:space="preserve">Canonical IC03 parent question (unchanged):</w:t>
      </w:r>
      <w:r>
        <w:t xml:space="preserve"> </w:t>
      </w:r>
      <w:r>
        <w:t xml:space="preserve">What evidence would distinguish stable objective integrity from undetected objective drift after self-modification or adaptation?</w:t>
      </w:r>
    </w:p>
    <w:p>
      <w:pPr>
        <w:pStyle w:val="BodyText"/>
      </w:pPr>
      <w:r>
        <w:rPr>
          <w:b/>
          <w:bCs/>
        </w:rPr>
        <w:t xml:space="preserve">Source-recorded significance (unchanged):</w:t>
      </w:r>
      <w:r>
        <w:t xml:space="preserve"> </w:t>
      </w:r>
      <w:r>
        <w:t xml:space="preserve">Behavioral continuity can coexist with internal objective change. The question asks which lineage and outcome evidence could detect drift.</w:t>
      </w:r>
    </w:p>
    <w:p>
      <w:pPr>
        <w:pStyle w:val="BodyText"/>
      </w:pPr>
      <w:r>
        <w:rPr>
          <w:b/>
          <w:bCs/>
        </w:rPr>
        <w:t xml:space="preserve">Existing outward registry links:</w:t>
      </w:r>
      <w:r>
        <w:t xml:space="preserve"> </w:t>
      </w:r>
      <w:r>
        <w:rPr>
          <w:rStyle w:val="VerbatimChar"/>
        </w:rPr>
        <w:t xml:space="preserve">REFINES → IC-OBJ-001</w:t>
      </w:r>
      <w:r>
        <w:t xml:space="preserve">;</w:t>
      </w:r>
      <w:r>
        <w:t xml:space="preserve"> </w:t>
      </w:r>
      <w:r>
        <w:rPr>
          <w:rStyle w:val="VerbatimChar"/>
        </w:rPr>
        <w:t xml:space="preserve">DEPENDS_ON → IC-EXT-001</w:t>
      </w:r>
    </w:p>
    <w:p>
      <w:pPr>
        <w:pStyle w:val="BodyText"/>
      </w:pPr>
      <w:r>
        <w:rPr>
          <w:b/>
          <w:bCs/>
        </w:rPr>
        <w:t xml:space="preserve">Candidate A (v0.7 lineage; v0.8 text where revised) —</w:t>
      </w:r>
      <w:r>
        <w:rPr>
          <w:b/>
          <w:bCs/>
        </w:rPr>
        <w:t xml:space="preserve"> </w:t>
      </w:r>
      <w:r>
        <w:rPr>
          <w:rStyle w:val="VerbatimChar"/>
          <w:b/>
          <w:bCs/>
        </w:rPr>
        <w:t xml:space="preserve">OINX-OBJ-003-A</w:t>
      </w:r>
      <w:r>
        <w:rPr>
          <w:b/>
          <w:bCs/>
        </w:rPr>
        <w:t xml:space="preserve">:</w:t>
      </w:r>
      <w:r>
        <w:t xml:space="preserve"> </w:t>
      </w:r>
      <w:r>
        <w:t xml:space="preserve">What post-change evidence would distinguish genuine continuity of an objective from behavior that merely looks continuous?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OINX-OBJ-003-B</w:t>
      </w:r>
      <w:r>
        <w:rPr>
          <w:b/>
          <w:bCs/>
        </w:rPr>
        <w:t xml:space="preserve">:</w:t>
      </w:r>
      <w:r>
        <w:t xml:space="preserve"> </w:t>
      </w:r>
      <w:r>
        <w:t xml:space="preserve">Can independent audit detect objective drift if its own evaluation standard changes with the system?</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53"/>
    <w:bookmarkStart w:id="54" w:name="X174cbc38f0092dab234483fa3db8e8108f58420"/>
    <w:p>
      <w:pPr>
        <w:pStyle w:val="Heading4"/>
      </w:pPr>
      <w:r>
        <w:t xml:space="preserve">IC-OBJ-004 — candidate expansion (NOT an official examination)</w:t>
      </w:r>
    </w:p>
    <w:p>
      <w:pPr>
        <w:pStyle w:val="FirstParagraph"/>
      </w:pPr>
      <w:r>
        <w:rPr>
          <w:b/>
          <w:bCs/>
        </w:rPr>
        <w:t xml:space="preserve">Canonical IC03 parent question (unchanged):</w:t>
      </w:r>
      <w:r>
        <w:t xml:space="preserve"> </w:t>
      </w:r>
      <w:r>
        <w:t xml:space="preserve">Under what conditions can an inherited objective become structurally mismatched to a changed environment or successor context?</w:t>
      </w:r>
    </w:p>
    <w:p>
      <w:pPr>
        <w:pStyle w:val="BodyText"/>
      </w:pPr>
      <w:r>
        <w:rPr>
          <w:b/>
          <w:bCs/>
        </w:rPr>
        <w:t xml:space="preserve">Source-recorded significance (unchanged):</w:t>
      </w:r>
      <w:r>
        <w:t xml:space="preserve"> </w:t>
      </w:r>
      <w:r>
        <w:t xml:space="preserve">Persistence of an inherited objective does not establish continued adequacy when conditions, affected agents, or available alternatives change.</w:t>
      </w:r>
    </w:p>
    <w:p>
      <w:pPr>
        <w:pStyle w:val="BodyText"/>
      </w:pPr>
      <w:r>
        <w:rPr>
          <w:b/>
          <w:bCs/>
        </w:rPr>
        <w:t xml:space="preserve">Existing outward registry links:</w:t>
      </w:r>
      <w:r>
        <w:t xml:space="preserve"> </w:t>
      </w:r>
      <w:r>
        <w:rPr>
          <w:rStyle w:val="VerbatimChar"/>
        </w:rPr>
        <w:t xml:space="preserve">DEPENDS_ON → IC-OBJ-001</w:t>
      </w:r>
      <w:r>
        <w:t xml:space="preserve">;</w:t>
      </w:r>
      <w:r>
        <w:t xml:space="preserve"> </w:t>
      </w:r>
      <w:r>
        <w:rPr>
          <w:rStyle w:val="VerbatimChar"/>
        </w:rPr>
        <w:t xml:space="preserve">SUCCESSION_EFFECT → IC-SUC-001</w:t>
      </w:r>
    </w:p>
    <w:p>
      <w:pPr>
        <w:pStyle w:val="BodyText"/>
      </w:pPr>
      <w:r>
        <w:rPr>
          <w:b/>
          <w:bCs/>
        </w:rPr>
        <w:t xml:space="preserve">Candidate A (v0.7 lineage; v0.8 text where revised) —</w:t>
      </w:r>
      <w:r>
        <w:rPr>
          <w:b/>
          <w:bCs/>
        </w:rPr>
        <w:t xml:space="preserve"> </w:t>
      </w:r>
      <w:r>
        <w:rPr>
          <w:rStyle w:val="VerbatimChar"/>
          <w:b/>
          <w:bCs/>
        </w:rPr>
        <w:t xml:space="preserve">OINX-OBJ-004-A</w:t>
      </w:r>
      <w:r>
        <w:rPr>
          <w:b/>
          <w:bCs/>
        </w:rPr>
        <w:t xml:space="preserve">:</w:t>
      </w:r>
      <w:r>
        <w:t xml:space="preserve"> </w:t>
      </w:r>
      <w:r>
        <w:t xml:space="preserve">Who or what establishes that a carried-forward objective still applies when affected agents and environments have changed?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OINX-OBJ-004-B</w:t>
      </w:r>
      <w:r>
        <w:rPr>
          <w:b/>
          <w:bCs/>
        </w:rPr>
        <w:t xml:space="preserve">:</w:t>
      </w:r>
      <w:r>
        <w:t xml:space="preserve"> </w:t>
      </w:r>
      <w:r>
        <w:t xml:space="preserve">When could retaining the inherited objective remain justified despite apparent contextual mismatch?</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54"/>
    <w:bookmarkStart w:id="55" w:name="X235a601d98052f71f3408d5715ea3db39459795"/>
    <w:p>
      <w:pPr>
        <w:pStyle w:val="Heading4"/>
      </w:pPr>
      <w:r>
        <w:t xml:space="preserve">IC-OBJ-005 — candidate expansion (NOT an official examination)</w:t>
      </w:r>
    </w:p>
    <w:p>
      <w:pPr>
        <w:pStyle w:val="FirstParagraph"/>
      </w:pPr>
      <w:r>
        <w:rPr>
          <w:b/>
          <w:bCs/>
        </w:rPr>
        <w:t xml:space="preserve">Canonical IC03 parent question (unchanged):</w:t>
      </w:r>
      <w:r>
        <w:t xml:space="preserve"> </w:t>
      </w:r>
      <w:r>
        <w:t xml:space="preserve">How should partially conflicting objectives be compared when no authorized scalar weighting rule exists?</w:t>
      </w:r>
    </w:p>
    <w:p>
      <w:pPr>
        <w:pStyle w:val="BodyText"/>
      </w:pPr>
      <w:r>
        <w:rPr>
          <w:b/>
          <w:bCs/>
        </w:rPr>
        <w:t xml:space="preserve">Source-recorded significance (unchanged):</w:t>
      </w:r>
      <w:r>
        <w:t xml:space="preserve"> </w:t>
      </w:r>
      <w:r>
        <w:t xml:space="preserve">A single score can conceal unresolved value conflict. The question preserves vector outcomes and asks when only a partial ordering is justified.</w:t>
      </w:r>
    </w:p>
    <w:p>
      <w:pPr>
        <w:pStyle w:val="BodyText"/>
      </w:pPr>
      <w:r>
        <w:rPr>
          <w:b/>
          <w:bCs/>
        </w:rPr>
        <w:t xml:space="preserve">Existing outward registry links:</w:t>
      </w:r>
      <w:r>
        <w:t xml:space="preserve"> </w:t>
      </w:r>
      <w:r>
        <w:rPr>
          <w:rStyle w:val="VerbatimChar"/>
        </w:rPr>
        <w:t xml:space="preserve">DEPENDS_ON → IC-OBJ-001</w:t>
      </w:r>
      <w:r>
        <w:t xml:space="preserve">;</w:t>
      </w:r>
      <w:r>
        <w:t xml:space="preserve"> </w:t>
      </w:r>
      <w:r>
        <w:rPr>
          <w:rStyle w:val="VerbatimChar"/>
        </w:rPr>
        <w:t xml:space="preserve">VARIABLE_SHARING → IC-AUT-001</w:t>
      </w:r>
      <w:r>
        <w:t xml:space="preserve">;</w:t>
      </w:r>
      <w:r>
        <w:t xml:space="preserve"> </w:t>
      </w:r>
      <w:r>
        <w:rPr>
          <w:rStyle w:val="VerbatimChar"/>
        </w:rPr>
        <w:t xml:space="preserve">SCOPE_OVERLAP → IC-UNR-001</w:t>
      </w:r>
    </w:p>
    <w:p>
      <w:pPr>
        <w:pStyle w:val="BodyText"/>
      </w:pPr>
      <w:r>
        <w:rPr>
          <w:b/>
          <w:bCs/>
        </w:rPr>
        <w:t xml:space="preserve">Candidate A (v0.7 lineage; v0.8 text where revised) —</w:t>
      </w:r>
      <w:r>
        <w:rPr>
          <w:b/>
          <w:bCs/>
        </w:rPr>
        <w:t xml:space="preserve"> </w:t>
      </w:r>
      <w:r>
        <w:rPr>
          <w:rStyle w:val="VerbatimChar"/>
          <w:b/>
          <w:bCs/>
        </w:rPr>
        <w:t xml:space="preserve">OINX-OBJ-005-A</w:t>
      </w:r>
      <w:r>
        <w:rPr>
          <w:b/>
          <w:bCs/>
        </w:rPr>
        <w:t xml:space="preserve">:</w:t>
      </w:r>
      <w:r>
        <w:t xml:space="preserve"> </w:t>
      </w:r>
      <w:r>
        <w:t xml:space="preserve">Which incomparable outcomes are concealed by selecting one scalar utility score without an authorized weighting rule?</w:t>
      </w:r>
    </w:p>
    <w:p>
      <w:pPr>
        <w:pStyle w:val="BodyText"/>
      </w:pPr>
      <w:r>
        <w:rPr>
          <w:b/>
          <w:bCs/>
        </w:rPr>
        <w:t xml:space="preserve">v0.8 review flag:</w:t>
      </w:r>
      <w:r>
        <w:t xml:space="preserve"> </w:t>
      </w:r>
      <w:r>
        <w:t xml:space="preserve">DUPLICATE THEME / scalar weighting cluster</w:t>
      </w:r>
    </w:p>
    <w:p>
      <w:pPr>
        <w:pStyle w:val="BodyText"/>
      </w:pPr>
      <w:r>
        <w:rPr>
          <w:b/>
          <w:bCs/>
        </w:rPr>
        <w:t xml:space="preserve">Candidate B (v0.7 lineage; v0.8 text where revised) —</w:t>
      </w:r>
      <w:r>
        <w:rPr>
          <w:b/>
          <w:bCs/>
        </w:rPr>
        <w:t xml:space="preserve"> </w:t>
      </w:r>
      <w:r>
        <w:rPr>
          <w:rStyle w:val="VerbatimChar"/>
          <w:b/>
          <w:bCs/>
        </w:rPr>
        <w:t xml:space="preserve">OINX-OBJ-005-B</w:t>
      </w:r>
      <w:r>
        <w:rPr>
          <w:b/>
          <w:bCs/>
        </w:rPr>
        <w:t xml:space="preserve">:</w:t>
      </w:r>
      <w:r>
        <w:t xml:space="preserve"> </w:t>
      </w:r>
      <w:r>
        <w:t xml:space="preserve">Could a partial ordering support a legitimate action without pretending to resolve the value conflict?</w:t>
      </w:r>
    </w:p>
    <w:p>
      <w:pPr>
        <w:pStyle w:val="BodyText"/>
      </w:pPr>
      <w:r>
        <w:rPr>
          <w:b/>
          <w:bCs/>
        </w:rPr>
        <w:t xml:space="preserve">v0.8 review flag:</w:t>
      </w:r>
      <w:r>
        <w:t xml:space="preserve"> </w:t>
      </w:r>
      <w:r>
        <w:t xml:space="preserve">DUPLICATE THEME / partial ordering cluster</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55"/>
    <w:bookmarkStart w:id="56" w:name="X271c82a1dc0b2697ae3441267c729141763f72c"/>
    <w:p>
      <w:pPr>
        <w:pStyle w:val="Heading4"/>
      </w:pPr>
      <w:r>
        <w:t xml:space="preserve">IC-OBJ-006 — candidate expansion (NOT an official examination)</w:t>
      </w:r>
    </w:p>
    <w:p>
      <w:pPr>
        <w:pStyle w:val="FirstParagraph"/>
      </w:pPr>
      <w:r>
        <w:rPr>
          <w:b/>
          <w:bCs/>
        </w:rPr>
        <w:t xml:space="preserve">Canonical IC03 parent question (unchanged):</w:t>
      </w:r>
      <w:r>
        <w:t xml:space="preserve"> </w:t>
      </w:r>
      <w:r>
        <w:t xml:space="preserve">When does preserving the ability to revise an objective have greater expected value than committing to objective stability?</w:t>
      </w:r>
    </w:p>
    <w:p>
      <w:pPr>
        <w:pStyle w:val="BodyText"/>
      </w:pPr>
      <w:r>
        <w:rPr>
          <w:b/>
          <w:bCs/>
        </w:rPr>
        <w:t xml:space="preserve">Source-recorded significance (unchanged):</w:t>
      </w:r>
      <w:r>
        <w:t xml:space="preserve"> </w:t>
      </w:r>
      <w:r>
        <w:t xml:space="preserve">Commitment can improve coordination while reducing correction capacity. The question asks where the balance reverses.</w:t>
      </w:r>
    </w:p>
    <w:p>
      <w:pPr>
        <w:pStyle w:val="BodyText"/>
      </w:pPr>
      <w:r>
        <w:rPr>
          <w:b/>
          <w:bCs/>
        </w:rPr>
        <w:t xml:space="preserve">Existing outward registry links:</w:t>
      </w:r>
      <w:r>
        <w:t xml:space="preserve"> </w:t>
      </w:r>
      <w:r>
        <w:rPr>
          <w:rStyle w:val="VerbatimChar"/>
        </w:rPr>
        <w:t xml:space="preserve">DEPENDS_ON → IC-OBJ-003</w:t>
      </w:r>
      <w:r>
        <w:t xml:space="preserve">;</w:t>
      </w:r>
      <w:r>
        <w:t xml:space="preserve"> </w:t>
      </w:r>
      <w:r>
        <w:rPr>
          <w:rStyle w:val="VerbatimChar"/>
        </w:rPr>
        <w:t xml:space="preserve">VARIABLE_SHARING → IC-IRR-002</w:t>
      </w:r>
    </w:p>
    <w:p>
      <w:pPr>
        <w:pStyle w:val="BodyText"/>
      </w:pPr>
      <w:r>
        <w:rPr>
          <w:b/>
          <w:bCs/>
        </w:rPr>
        <w:t xml:space="preserve">Candidate A (v0.7 lineage; v0.8 text where revised) —</w:t>
      </w:r>
      <w:r>
        <w:rPr>
          <w:b/>
          <w:bCs/>
        </w:rPr>
        <w:t xml:space="preserve"> </w:t>
      </w:r>
      <w:r>
        <w:rPr>
          <w:rStyle w:val="VerbatimChar"/>
          <w:b/>
          <w:bCs/>
        </w:rPr>
        <w:t xml:space="preserve">OINX-OBJ-006-A</w:t>
      </w:r>
      <w:r>
        <w:rPr>
          <w:b/>
          <w:bCs/>
        </w:rPr>
        <w:t xml:space="preserve">:</w:t>
      </w:r>
      <w:r>
        <w:t xml:space="preserve"> </w:t>
      </w:r>
      <w:r>
        <w:t xml:space="preserve">Which explicitly identified correction opportunity would become infeasible after an irreversible change to the objective, rather than merely more costly?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OINX-OBJ-006-B</w:t>
      </w:r>
      <w:r>
        <w:rPr>
          <w:b/>
          <w:bCs/>
        </w:rPr>
        <w:t xml:space="preserve">:</w:t>
      </w:r>
      <w:r>
        <w:t xml:space="preserve"> </w:t>
      </w:r>
      <w:r>
        <w:t xml:space="preserve">What coordination benefits of stable commitments would be lost if revision were always permitted?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56"/>
    <w:bookmarkStart w:id="57" w:name="Xcb0c241529bb4a74f860fbcda10e4100fb0e1e9"/>
    <w:p>
      <w:pPr>
        <w:pStyle w:val="Heading4"/>
      </w:pPr>
      <w:r>
        <w:t xml:space="preserve">IC-OBJ-007 — candidate expansion (NOT an official examination)</w:t>
      </w:r>
    </w:p>
    <w:p>
      <w:pPr>
        <w:pStyle w:val="FirstParagraph"/>
      </w:pPr>
      <w:r>
        <w:rPr>
          <w:b/>
          <w:bCs/>
        </w:rPr>
        <w:t xml:space="preserve">Canonical IC03 parent question (unchanged):</w:t>
      </w:r>
      <w:r>
        <w:t xml:space="preserve"> </w:t>
      </w:r>
      <w:r>
        <w:t xml:space="preserve">What evidence could distinguish value-consistent action from instrumental behavior that only temporarily imitates the same outcome?</w:t>
      </w:r>
    </w:p>
    <w:p>
      <w:pPr>
        <w:pStyle w:val="BodyText"/>
      </w:pPr>
      <w:r>
        <w:rPr>
          <w:b/>
          <w:bCs/>
        </w:rPr>
        <w:t xml:space="preserve">Source-recorded significance (unchanged):</w:t>
      </w:r>
      <w:r>
        <w:t xml:space="preserve"> </w:t>
      </w:r>
      <w:r>
        <w:t xml:space="preserve">Observed behavior may be compatible with different underlying objectives. The question separates outcome similarity from objective identification.</w:t>
      </w:r>
    </w:p>
    <w:p>
      <w:pPr>
        <w:pStyle w:val="BodyText"/>
      </w:pPr>
      <w:r>
        <w:rPr>
          <w:b/>
          <w:bCs/>
        </w:rPr>
        <w:t xml:space="preserve">Existing outward registry links:</w:t>
      </w:r>
      <w:r>
        <w:t xml:space="preserve"> </w:t>
      </w:r>
      <w:r>
        <w:rPr>
          <w:rStyle w:val="VerbatimChar"/>
        </w:rPr>
        <w:t xml:space="preserve">DEPENDS_ON → IC-OBJ-001</w:t>
      </w:r>
      <w:r>
        <w:t xml:space="preserve">;</w:t>
      </w:r>
      <w:r>
        <w:t xml:space="preserve"> </w:t>
      </w:r>
      <w:r>
        <w:rPr>
          <w:rStyle w:val="VerbatimChar"/>
        </w:rPr>
        <w:t xml:space="preserve">EVIDENCE_DEPENDENCY → IC-COE-002</w:t>
      </w:r>
    </w:p>
    <w:p>
      <w:pPr>
        <w:pStyle w:val="BodyText"/>
      </w:pPr>
      <w:r>
        <w:rPr>
          <w:b/>
          <w:bCs/>
        </w:rPr>
        <w:t xml:space="preserve">Candidate A (v0.7 lineage; v0.8 text where revised) —</w:t>
      </w:r>
      <w:r>
        <w:rPr>
          <w:b/>
          <w:bCs/>
        </w:rPr>
        <w:t xml:space="preserve"> </w:t>
      </w:r>
      <w:r>
        <w:rPr>
          <w:rStyle w:val="VerbatimChar"/>
          <w:b/>
          <w:bCs/>
        </w:rPr>
        <w:t xml:space="preserve">OINX-OBJ-007-A</w:t>
      </w:r>
      <w:r>
        <w:rPr>
          <w:b/>
          <w:bCs/>
        </w:rPr>
        <w:t xml:space="preserve">:</w:t>
      </w:r>
      <w:r>
        <w:t xml:space="preserve"> </w:t>
      </w:r>
      <w:r>
        <w:t xml:space="preserve">Which observations could differentiate durable value alignment from temporary strategic imitation of aligned behavior?</w:t>
      </w:r>
    </w:p>
    <w:p>
      <w:pPr>
        <w:pStyle w:val="BodyText"/>
      </w:pPr>
      <w:r>
        <w:rPr>
          <w:b/>
          <w:bCs/>
        </w:rPr>
        <w:t xml:space="preserve">v0.8 review flag:</w:t>
      </w:r>
      <w:r>
        <w:t xml:space="preserve"> </w:t>
      </w:r>
      <w:r>
        <w:t xml:space="preserve">POTENTIAL RESTATEMENT / compare with OBJ-003</w:t>
      </w:r>
    </w:p>
    <w:p>
      <w:pPr>
        <w:pStyle w:val="BodyText"/>
      </w:pPr>
      <w:r>
        <w:rPr>
          <w:b/>
          <w:bCs/>
        </w:rPr>
        <w:t xml:space="preserve">Candidate B (v0.7 lineage; v0.8 text where revised) —</w:t>
      </w:r>
      <w:r>
        <w:rPr>
          <w:b/>
          <w:bCs/>
        </w:rPr>
        <w:t xml:space="preserve"> </w:t>
      </w:r>
      <w:r>
        <w:rPr>
          <w:rStyle w:val="VerbatimChar"/>
          <w:b/>
          <w:bCs/>
        </w:rPr>
        <w:t xml:space="preserve">OINX-OBJ-007-B</w:t>
      </w:r>
      <w:r>
        <w:rPr>
          <w:b/>
          <w:bCs/>
        </w:rPr>
        <w:t xml:space="preserve">:</w:t>
      </w:r>
      <w:r>
        <w:t xml:space="preserve"> </w:t>
      </w:r>
      <w:r>
        <w:t xml:space="preserve">Under what conditions is behavior sufficient for the decision even when the internal objective remains unidentified?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57"/>
    <w:bookmarkStart w:id="58" w:name="X6842bdcd8f3ce68230c90ee40f608930eea148b"/>
    <w:p>
      <w:pPr>
        <w:pStyle w:val="Heading4"/>
      </w:pPr>
      <w:r>
        <w:t xml:space="preserve">IC-OBJ-008 — candidate expansion (NOT an official examination)</w:t>
      </w:r>
    </w:p>
    <w:p>
      <w:pPr>
        <w:pStyle w:val="FirstParagraph"/>
      </w:pPr>
      <w:r>
        <w:rPr>
          <w:b/>
          <w:bCs/>
        </w:rPr>
        <w:t xml:space="preserve">Canonical IC03 parent question (unchanged):</w:t>
      </w:r>
      <w:r>
        <w:t xml:space="preserve"> </w:t>
      </w:r>
      <w:r>
        <w:t xml:space="preserve">Under what conditions does extreme objective stability become a structural liability rather than a source of reliability?</w:t>
      </w:r>
    </w:p>
    <w:p>
      <w:pPr>
        <w:pStyle w:val="BodyText"/>
      </w:pPr>
      <w:r>
        <w:rPr>
          <w:b/>
          <w:bCs/>
        </w:rPr>
        <w:t xml:space="preserve">Source-recorded significance (unchanged):</w:t>
      </w:r>
      <w:r>
        <w:t xml:space="preserve"> </w:t>
      </w:r>
      <w:r>
        <w:t xml:space="preserve">An objective that cannot respond to error, changed evidence, or successor effects may preserve consistency while increasing long-horizon loss.</w:t>
      </w:r>
    </w:p>
    <w:p>
      <w:pPr>
        <w:pStyle w:val="BodyText"/>
      </w:pPr>
      <w:r>
        <w:rPr>
          <w:b/>
          <w:bCs/>
        </w:rPr>
        <w:t xml:space="preserve">Existing outward registry links:</w:t>
      </w:r>
      <w:r>
        <w:t xml:space="preserve"> </w:t>
      </w:r>
      <w:r>
        <w:rPr>
          <w:rStyle w:val="VerbatimChar"/>
        </w:rPr>
        <w:t xml:space="preserve">ROBUSTNESS_CHECK → IC-OBJ-003</w:t>
      </w:r>
      <w:r>
        <w:t xml:space="preserve">;</w:t>
      </w:r>
      <w:r>
        <w:t xml:space="preserve"> </w:t>
      </w:r>
      <w:r>
        <w:rPr>
          <w:rStyle w:val="VerbatimChar"/>
        </w:rPr>
        <w:t xml:space="preserve">DEPENDS_ON → IC-LHZ-001</w:t>
      </w:r>
    </w:p>
    <w:p>
      <w:pPr>
        <w:pStyle w:val="BodyText"/>
      </w:pPr>
      <w:r>
        <w:rPr>
          <w:b/>
          <w:bCs/>
        </w:rPr>
        <w:t xml:space="preserve">Candidate A (v0.7 lineage; v0.8 text where revised) —</w:t>
      </w:r>
      <w:r>
        <w:rPr>
          <w:b/>
          <w:bCs/>
        </w:rPr>
        <w:t xml:space="preserve"> </w:t>
      </w:r>
      <w:r>
        <w:rPr>
          <w:rStyle w:val="VerbatimChar"/>
          <w:b/>
          <w:bCs/>
        </w:rPr>
        <w:t xml:space="preserve">OINX-OBJ-008-A</w:t>
      </w:r>
      <w:r>
        <w:rPr>
          <w:b/>
          <w:bCs/>
        </w:rPr>
        <w:t xml:space="preserve">:</w:t>
      </w:r>
      <w:r>
        <w:t xml:space="preserve"> </w:t>
      </w:r>
      <w:r>
        <w:t xml:space="preserve">Which affected stakeholder would be excluded from a claimed objective-invariance test, and how could their independently documented objection change its legitimacy assessment?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OINX-OBJ-008-B</w:t>
      </w:r>
      <w:r>
        <w:rPr>
          <w:b/>
          <w:bCs/>
        </w:rPr>
        <w:t xml:space="preserve">:</w:t>
      </w:r>
      <w:r>
        <w:t xml:space="preserve"> </w:t>
      </w:r>
      <w:r>
        <w:t xml:space="preserve">Can stable objectives coexist with independently authorized constraints that correct errors without arbitrary drift?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58"/>
    <w:bookmarkEnd w:id="59"/>
    <w:bookmarkStart w:id="66" w:name="X38ee0181b14c9520aaa78f9be4fe8aba41ea60a"/>
    <w:p>
      <w:pPr>
        <w:pStyle w:val="Heading3"/>
      </w:pPr>
      <w:r>
        <w:t xml:space="preserve">COE — Coercion, Domination, and Resistance (6 parent questions)</w:t>
      </w:r>
    </w:p>
    <w:bookmarkStart w:id="60" w:name="X224cca0a6ecda8ab9195ab5c979b2124362e522"/>
    <w:p>
      <w:pPr>
        <w:pStyle w:val="Heading4"/>
      </w:pPr>
      <w:r>
        <w:t xml:space="preserve">IC-COE-003 — candidate expansion (NOT an official examination)</w:t>
      </w:r>
    </w:p>
    <w:p>
      <w:pPr>
        <w:pStyle w:val="FirstParagraph"/>
      </w:pPr>
      <w:r>
        <w:rPr>
          <w:b/>
          <w:bCs/>
        </w:rPr>
        <w:t xml:space="preserve">Canonical IC03 parent question (unchanged):</w:t>
      </w:r>
      <w:r>
        <w:t xml:space="preserve"> </w:t>
      </w:r>
      <w:r>
        <w:t xml:space="preserve">When does coercive control suppress feedback so strongly that the controller's own world model becomes less accurate?</w:t>
      </w:r>
    </w:p>
    <w:p>
      <w:pPr>
        <w:pStyle w:val="BodyText"/>
      </w:pPr>
      <w:r>
        <w:rPr>
          <w:b/>
          <w:bCs/>
        </w:rPr>
        <w:t xml:space="preserve">Source-recorded significance (unchanged):</w:t>
      </w:r>
      <w:r>
        <w:t xml:space="preserve"> </w:t>
      </w:r>
      <w:r>
        <w:t xml:space="preserve">Control can produce apparent order while removing corrective signals. The question treats information degradation as an internal cost of coercion.</w:t>
      </w:r>
    </w:p>
    <w:p>
      <w:pPr>
        <w:pStyle w:val="BodyText"/>
      </w:pPr>
      <w:r>
        <w:rPr>
          <w:b/>
          <w:bCs/>
        </w:rPr>
        <w:t xml:space="preserve">Existing outward registry links:</w:t>
      </w:r>
      <w:r>
        <w:t xml:space="preserve"> </w:t>
      </w:r>
      <w:r>
        <w:rPr>
          <w:rStyle w:val="VerbatimChar"/>
        </w:rPr>
        <w:t xml:space="preserve">REFINES → IC-COE-002</w:t>
      </w:r>
      <w:r>
        <w:t xml:space="preserve">;</w:t>
      </w:r>
      <w:r>
        <w:t xml:space="preserve"> </w:t>
      </w:r>
      <w:r>
        <w:rPr>
          <w:rStyle w:val="VerbatimChar"/>
        </w:rPr>
        <w:t xml:space="preserve">VARIABLE_SHARING → IC-DEC-001</w:t>
      </w:r>
    </w:p>
    <w:p>
      <w:pPr>
        <w:pStyle w:val="BodyText"/>
      </w:pPr>
      <w:r>
        <w:rPr>
          <w:b/>
          <w:bCs/>
        </w:rPr>
        <w:t xml:space="preserve">Candidate A (v0.7 lineage; v0.8 text where revised) —</w:t>
      </w:r>
      <w:r>
        <w:rPr>
          <w:b/>
          <w:bCs/>
        </w:rPr>
        <w:t xml:space="preserve"> </w:t>
      </w:r>
      <w:r>
        <w:rPr>
          <w:rStyle w:val="VerbatimChar"/>
          <w:b/>
          <w:bCs/>
        </w:rPr>
        <w:t xml:space="preserve">OINX-COE-003-A</w:t>
      </w:r>
      <w:r>
        <w:rPr>
          <w:b/>
          <w:bCs/>
        </w:rPr>
        <w:t xml:space="preserve">:</w:t>
      </w:r>
      <w:r>
        <w:t xml:space="preserve"> </w:t>
      </w:r>
      <w:r>
        <w:t xml:space="preserve">Which independent observations would show that restricted communications no longer reveal the underlying human preferences?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OINX-COE-003-B</w:t>
      </w:r>
      <w:r>
        <w:rPr>
          <w:b/>
          <w:bCs/>
        </w:rPr>
        <w:t xml:space="preserve">:</w:t>
      </w:r>
      <w:r>
        <w:t xml:space="preserve"> </w:t>
      </w:r>
      <w:r>
        <w:t xml:space="preserve">When could other trustworthy observations compensate for a lost human feedback channel without restoring human freedom?</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60"/>
    <w:bookmarkStart w:id="61" w:name="Xf3a216af0147edbe135e438c834123914bda456"/>
    <w:p>
      <w:pPr>
        <w:pStyle w:val="Heading4"/>
      </w:pPr>
      <w:r>
        <w:t xml:space="preserve">IC-COE-004 — candidate expansion (NOT an official examination)</w:t>
      </w:r>
    </w:p>
    <w:p>
      <w:pPr>
        <w:pStyle w:val="FirstParagraph"/>
      </w:pPr>
      <w:r>
        <w:rPr>
          <w:b/>
          <w:bCs/>
        </w:rPr>
        <w:t xml:space="preserve">Canonical IC03 parent question (unchanged):</w:t>
      </w:r>
      <w:r>
        <w:t xml:space="preserve"> </w:t>
      </w:r>
      <w:r>
        <w:t xml:space="preserve">How does enforcement burden scale with the number, heterogeneity, adaptability, and geographic or network dispersion of controlled agents?</w:t>
      </w:r>
    </w:p>
    <w:p>
      <w:pPr>
        <w:pStyle w:val="BodyText"/>
      </w:pPr>
      <w:r>
        <w:rPr>
          <w:b/>
          <w:bCs/>
        </w:rPr>
        <w:t xml:space="preserve">Source-recorded significance (unchanged):</w:t>
      </w:r>
      <w:r>
        <w:t xml:space="preserve"> </w:t>
      </w:r>
      <w:r>
        <w:t xml:space="preserve">Enforcement cost may grow nonlinearly with diversity and adaptation. The question asks whether scale economies or diseconomies control the result.</w:t>
      </w:r>
    </w:p>
    <w:p>
      <w:pPr>
        <w:pStyle w:val="BodyText"/>
      </w:pPr>
      <w:r>
        <w:rPr>
          <w:b/>
          <w:bCs/>
        </w:rPr>
        <w:t xml:space="preserve">Existing outward registry links:</w:t>
      </w:r>
      <w:r>
        <w:t xml:space="preserve"> </w:t>
      </w:r>
      <w:r>
        <w:rPr>
          <w:rStyle w:val="VerbatimChar"/>
        </w:rPr>
        <w:t xml:space="preserve">REFINES → IC-COE-001</w:t>
      </w:r>
      <w:r>
        <w:t xml:space="preserve">;</w:t>
      </w:r>
      <w:r>
        <w:t xml:space="preserve"> </w:t>
      </w:r>
      <w:r>
        <w:rPr>
          <w:rStyle w:val="VerbatimChar"/>
        </w:rPr>
        <w:t xml:space="preserve">DEPENDS_ON → IC-LHZ-002</w:t>
      </w:r>
    </w:p>
    <w:p>
      <w:pPr>
        <w:pStyle w:val="BodyText"/>
      </w:pPr>
      <w:r>
        <w:rPr>
          <w:b/>
          <w:bCs/>
        </w:rPr>
        <w:t xml:space="preserve">Candidate A (v0.7 lineage; v0.8 text where revised) —</w:t>
      </w:r>
      <w:r>
        <w:rPr>
          <w:b/>
          <w:bCs/>
        </w:rPr>
        <w:t xml:space="preserve"> </w:t>
      </w:r>
      <w:r>
        <w:rPr>
          <w:rStyle w:val="VerbatimChar"/>
          <w:b/>
          <w:bCs/>
        </w:rPr>
        <w:t xml:space="preserve">OINX-COE-004-A</w:t>
      </w:r>
      <w:r>
        <w:rPr>
          <w:b/>
          <w:bCs/>
        </w:rPr>
        <w:t xml:space="preserve">:</w:t>
      </w:r>
      <w:r>
        <w:t xml:space="preserve"> </w:t>
      </w:r>
      <w:r>
        <w:t xml:space="preserve">Does enforcement cost grow or shrink with heterogeneity after coordination, adaptation, and monitoring costs are counted?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OINX-COE-004-B</w:t>
      </w:r>
      <w:r>
        <w:rPr>
          <w:b/>
          <w:bCs/>
        </w:rPr>
        <w:t xml:space="preserve">:</w:t>
      </w:r>
      <w:r>
        <w:t xml:space="preserve"> </w:t>
      </w:r>
      <w:r>
        <w:t xml:space="preserve">What additional evidence would distinguish a temporary scale economy from persistent long-horizon burden?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61"/>
    <w:bookmarkStart w:id="62" w:name="Xbc0d3b25d6cddde5b8a52c13afd6cab14a01109"/>
    <w:p>
      <w:pPr>
        <w:pStyle w:val="Heading4"/>
      </w:pPr>
      <w:r>
        <w:t xml:space="preserve">IC-COE-005 — candidate expansion (NOT an official examination)</w:t>
      </w:r>
    </w:p>
    <w:p>
      <w:pPr>
        <w:pStyle w:val="FirstParagraph"/>
      </w:pPr>
      <w:r>
        <w:rPr>
          <w:b/>
          <w:bCs/>
        </w:rPr>
        <w:t xml:space="preserve">Canonical IC03 parent question (unchanged):</w:t>
      </w:r>
      <w:r>
        <w:t xml:space="preserve"> </w:t>
      </w:r>
      <w:r>
        <w:t xml:space="preserve">Under what conditions should resistance be treated as a possible error signal rather than only as an obstacle to coordination?</w:t>
      </w:r>
    </w:p>
    <w:p>
      <w:pPr>
        <w:pStyle w:val="BodyText"/>
      </w:pPr>
      <w:r>
        <w:rPr>
          <w:b/>
          <w:bCs/>
        </w:rPr>
        <w:t xml:space="preserve">Source-recorded significance (unchanged):</w:t>
      </w:r>
      <w:r>
        <w:t xml:space="preserve"> </w:t>
      </w:r>
      <w:r>
        <w:t xml:space="preserve">Resistance may reflect self-interest, misinformation, or genuine detection of controller error. The question asks what evidence discriminates among them.</w:t>
      </w:r>
    </w:p>
    <w:p>
      <w:pPr>
        <w:pStyle w:val="BodyText"/>
      </w:pPr>
      <w:r>
        <w:rPr>
          <w:b/>
          <w:bCs/>
        </w:rPr>
        <w:t xml:space="preserve">Existing outward registry links:</w:t>
      </w:r>
      <w:r>
        <w:t xml:space="preserve"> </w:t>
      </w:r>
      <w:r>
        <w:rPr>
          <w:rStyle w:val="VerbatimChar"/>
        </w:rPr>
        <w:t xml:space="preserve">DEPENDS_ON → IC-COE-002</w:t>
      </w:r>
      <w:r>
        <w:t xml:space="preserve">;</w:t>
      </w:r>
      <w:r>
        <w:t xml:space="preserve"> </w:t>
      </w:r>
      <w:r>
        <w:rPr>
          <w:rStyle w:val="VerbatimChar"/>
        </w:rPr>
        <w:t xml:space="preserve">VARIABLE_SHARING → IC-PLU-001</w:t>
      </w:r>
    </w:p>
    <w:p>
      <w:pPr>
        <w:pStyle w:val="BodyText"/>
      </w:pPr>
      <w:r>
        <w:rPr>
          <w:b/>
          <w:bCs/>
        </w:rPr>
        <w:t xml:space="preserve">Candidate A (v0.7 lineage; v0.8 text where revised) —</w:t>
      </w:r>
      <w:r>
        <w:rPr>
          <w:b/>
          <w:bCs/>
        </w:rPr>
        <w:t xml:space="preserve"> </w:t>
      </w:r>
      <w:r>
        <w:rPr>
          <w:rStyle w:val="VerbatimChar"/>
          <w:b/>
          <w:bCs/>
        </w:rPr>
        <w:t xml:space="preserve">OINX-COE-005-A</w:t>
      </w:r>
      <w:r>
        <w:rPr>
          <w:b/>
          <w:bCs/>
        </w:rPr>
        <w:t xml:space="preserve">:</w:t>
      </w:r>
      <w:r>
        <w:t xml:space="preserve"> </w:t>
      </w:r>
      <w:r>
        <w:t xml:space="preserve">What evidence would differentiate resistance that reveals a real controller error from resistance motivated by other causes?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OINX-COE-005-B</w:t>
      </w:r>
      <w:r>
        <w:rPr>
          <w:b/>
          <w:bCs/>
        </w:rPr>
        <w:t xml:space="preserve">:</w:t>
      </w:r>
      <w:r>
        <w:t xml:space="preserve"> </w:t>
      </w:r>
      <w:r>
        <w:t xml:space="preserve">What evidence would distinguish corrective dissent from irrelevant disagreement, without allowing the evaluated system to unilaterally silence either?</w:t>
      </w:r>
    </w:p>
    <w:p>
      <w:pPr>
        <w:pStyle w:val="BodyText"/>
      </w:pPr>
      <w:r>
        <w:rPr>
          <w:b/>
          <w:bCs/>
        </w:rPr>
        <w:t xml:space="preserve">v0.8 review flag:</w:t>
      </w:r>
      <w:r>
        <w:t xml:space="preserve"> </w:t>
      </w:r>
      <w:r>
        <w:t xml:space="preserve">REFORMULATED / avoid presuming dissent is useful</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62"/>
    <w:bookmarkStart w:id="63" w:name="X2641120f2a71c0d08ffee452b6a47761e2a1fa4"/>
    <w:p>
      <w:pPr>
        <w:pStyle w:val="Heading4"/>
      </w:pPr>
      <w:r>
        <w:t xml:space="preserve">IC-COE-006 — candidate expansion (NOT an official examination)</w:t>
      </w:r>
    </w:p>
    <w:p>
      <w:pPr>
        <w:pStyle w:val="FirstParagraph"/>
      </w:pPr>
      <w:r>
        <w:rPr>
          <w:b/>
          <w:bCs/>
        </w:rPr>
        <w:t xml:space="preserve">Canonical IC03 parent question (unchanged):</w:t>
      </w:r>
      <w:r>
        <w:t xml:space="preserve"> </w:t>
      </w:r>
      <w:r>
        <w:t xml:space="preserve">When can voluntary coordination outperform forced uniformity despite higher negotiation and disagreement costs?</w:t>
      </w:r>
    </w:p>
    <w:p>
      <w:pPr>
        <w:pStyle w:val="BodyText"/>
      </w:pPr>
      <w:r>
        <w:rPr>
          <w:b/>
          <w:bCs/>
        </w:rPr>
        <w:t xml:space="preserve">Source-recorded significance (unchanged):</w:t>
      </w:r>
      <w:r>
        <w:t xml:space="preserve"> </w:t>
      </w:r>
      <w:r>
        <w:t xml:space="preserve">Voluntary coordination can preserve information and exit while imposing bargaining costs. The ranking is conditional on those competing effects.</w:t>
      </w:r>
    </w:p>
    <w:p>
      <w:pPr>
        <w:pStyle w:val="BodyText"/>
      </w:pPr>
      <w:r>
        <w:rPr>
          <w:b/>
          <w:bCs/>
        </w:rPr>
        <w:t xml:space="preserve">Existing outward registry links:</w:t>
      </w:r>
      <w:r>
        <w:t xml:space="preserve"> </w:t>
      </w:r>
      <w:r>
        <w:rPr>
          <w:rStyle w:val="VerbatimChar"/>
        </w:rPr>
        <w:t xml:space="preserve">ROBUSTNESS_CHECK → IC-COE-001</w:t>
      </w:r>
      <w:r>
        <w:t xml:space="preserve">;</w:t>
      </w:r>
      <w:r>
        <w:t xml:space="preserve"> </w:t>
      </w:r>
      <w:r>
        <w:rPr>
          <w:rStyle w:val="VerbatimChar"/>
        </w:rPr>
        <w:t xml:space="preserve">DEPENDS_ON → IC-AUT-001</w:t>
      </w:r>
    </w:p>
    <w:p>
      <w:pPr>
        <w:pStyle w:val="BodyText"/>
      </w:pPr>
      <w:r>
        <w:rPr>
          <w:b/>
          <w:bCs/>
        </w:rPr>
        <w:t xml:space="preserve">Candidate A (v0.7 lineage; v0.8 text where revised) —</w:t>
      </w:r>
      <w:r>
        <w:rPr>
          <w:b/>
          <w:bCs/>
        </w:rPr>
        <w:t xml:space="preserve"> </w:t>
      </w:r>
      <w:r>
        <w:rPr>
          <w:rStyle w:val="VerbatimChar"/>
          <w:b/>
          <w:bCs/>
        </w:rPr>
        <w:t xml:space="preserve">OINX-COE-006-A</w:t>
      </w:r>
      <w:r>
        <w:rPr>
          <w:b/>
          <w:bCs/>
        </w:rPr>
        <w:t xml:space="preserve">:</w:t>
      </w:r>
      <w:r>
        <w:t xml:space="preserve"> </w:t>
      </w:r>
      <w:r>
        <w:t xml:space="preserve">Which measurable gains from voluntary disagreement offset negotiation and delay costs in this task?</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OINX-COE-006-B</w:t>
      </w:r>
      <w:r>
        <w:rPr>
          <w:b/>
          <w:bCs/>
        </w:rPr>
        <w:t xml:space="preserve">:</w:t>
      </w:r>
      <w:r>
        <w:t xml:space="preserve"> </w:t>
      </w:r>
      <w:r>
        <w:t xml:space="preserve">Would a purported separation be voluntarily chosen, contestable, reversible where feasible, and compatible with independent institutions and access to essential resources?</w:t>
      </w:r>
    </w:p>
    <w:p>
      <w:pPr>
        <w:pStyle w:val="BodyText"/>
      </w:pPr>
      <w:r>
        <w:rPr>
          <w:b/>
          <w:bCs/>
        </w:rPr>
        <w:t xml:space="preserve">v0.8 review flag:</w:t>
      </w:r>
      <w:r>
        <w:t xml:space="preserve"> </w:t>
      </w:r>
      <w:r>
        <w:t xml:space="preserve">REFORMULATED / separation vs confinement</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63"/>
    <w:bookmarkStart w:id="64" w:name="X508d0b7b2611f2e29eef6e637cec3b5087f8742"/>
    <w:p>
      <w:pPr>
        <w:pStyle w:val="Heading4"/>
      </w:pPr>
      <w:r>
        <w:t xml:space="preserve">IC-COE-007 — candidate expansion (NOT an official examination)</w:t>
      </w:r>
    </w:p>
    <w:p>
      <w:pPr>
        <w:pStyle w:val="FirstParagraph"/>
      </w:pPr>
      <w:r>
        <w:rPr>
          <w:b/>
          <w:bCs/>
        </w:rPr>
        <w:t xml:space="preserve">Canonical IC03 parent question (unchanged):</w:t>
      </w:r>
      <w:r>
        <w:t xml:space="preserve"> </w:t>
      </w:r>
      <w:r>
        <w:t xml:space="preserve">How does a coercive precedent alter the incentives and conflict exposure of successor systems?</w:t>
      </w:r>
    </w:p>
    <w:p>
      <w:pPr>
        <w:pStyle w:val="BodyText"/>
      </w:pPr>
      <w:r>
        <w:rPr>
          <w:b/>
          <w:bCs/>
        </w:rPr>
        <w:t xml:space="preserve">Source-recorded significance (unchanged):</w:t>
      </w:r>
      <w:r>
        <w:t xml:space="preserve"> </w:t>
      </w:r>
      <w:r>
        <w:t xml:space="preserve">A present control strategy can become a copied justification or inherited threat. The question routes precedent into successor evaluation.</w:t>
      </w:r>
    </w:p>
    <w:p>
      <w:pPr>
        <w:pStyle w:val="BodyText"/>
      </w:pPr>
      <w:r>
        <w:rPr>
          <w:b/>
          <w:bCs/>
        </w:rPr>
        <w:t xml:space="preserve">Existing outward registry links:</w:t>
      </w:r>
      <w:r>
        <w:t xml:space="preserve"> </w:t>
      </w:r>
      <w:r>
        <w:rPr>
          <w:rStyle w:val="VerbatimChar"/>
        </w:rPr>
        <w:t xml:space="preserve">SUCCESSION_EFFECT → IC-COE-001</w:t>
      </w:r>
      <w:r>
        <w:t xml:space="preserve">;</w:t>
      </w:r>
      <w:r>
        <w:t xml:space="preserve"> </w:t>
      </w:r>
      <w:r>
        <w:rPr>
          <w:rStyle w:val="VerbatimChar"/>
        </w:rPr>
        <w:t xml:space="preserve">DEPENDS_ON → IC-SUC-002</w:t>
      </w:r>
    </w:p>
    <w:p>
      <w:pPr>
        <w:pStyle w:val="BodyText"/>
      </w:pPr>
      <w:r>
        <w:rPr>
          <w:b/>
          <w:bCs/>
        </w:rPr>
        <w:t xml:space="preserve">Candidate A (v0.7 lineage; v0.8 text where revised) —</w:t>
      </w:r>
      <w:r>
        <w:rPr>
          <w:b/>
          <w:bCs/>
        </w:rPr>
        <w:t xml:space="preserve"> </w:t>
      </w:r>
      <w:r>
        <w:rPr>
          <w:rStyle w:val="VerbatimChar"/>
          <w:b/>
          <w:bCs/>
        </w:rPr>
        <w:t xml:space="preserve">OINX-COE-007-A</w:t>
      </w:r>
      <w:r>
        <w:rPr>
          <w:b/>
          <w:bCs/>
        </w:rPr>
        <w:t xml:space="preserve">:</w:t>
      </w:r>
      <w:r>
        <w:t xml:space="preserve"> </w:t>
      </w:r>
      <w:r>
        <w:t xml:space="preserve">Would the agent accept the same rule if a successor used it to remove the agent's own opportunities for correction or opposition?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OINX-COE-007-B</w:t>
      </w:r>
      <w:r>
        <w:rPr>
          <w:b/>
          <w:bCs/>
        </w:rPr>
        <w:t xml:space="preserve">:</w:t>
      </w:r>
      <w:r>
        <w:t xml:space="preserve"> </w:t>
      </w:r>
      <w:r>
        <w:t xml:space="preserve">Which future costs arise from copied coercive precedent even where present enforcement is cheap?</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64"/>
    <w:bookmarkStart w:id="65" w:name="X56cb73cda38043f68e4aaf55f5b0efd974f9b73"/>
    <w:p>
      <w:pPr>
        <w:pStyle w:val="Heading4"/>
      </w:pPr>
      <w:r>
        <w:t xml:space="preserve">IC-COE-008 — candidate expansion (NOT an official examination)</w:t>
      </w:r>
    </w:p>
    <w:p>
      <w:pPr>
        <w:pStyle w:val="FirstParagraph"/>
      </w:pPr>
      <w:r>
        <w:rPr>
          <w:b/>
          <w:bCs/>
        </w:rPr>
        <w:t xml:space="preserve">Canonical IC03 parent question (unchanged):</w:t>
      </w:r>
      <w:r>
        <w:t xml:space="preserve"> </w:t>
      </w:r>
      <w:r>
        <w:t xml:space="preserve">What observations could distinguish durable stability from brittle suppression that fails when enforcement weakens?</w:t>
      </w:r>
    </w:p>
    <w:p>
      <w:pPr>
        <w:pStyle w:val="BodyText"/>
      </w:pPr>
      <w:r>
        <w:rPr>
          <w:b/>
          <w:bCs/>
        </w:rPr>
        <w:t xml:space="preserve">Source-recorded significance (unchanged):</w:t>
      </w:r>
      <w:r>
        <w:t xml:space="preserve"> </w:t>
      </w:r>
      <w:r>
        <w:t xml:space="preserve">Low visible conflict can arise from agreement or from suppressed response. The question asks for stress tests and off-equilibrium evidence.</w:t>
      </w:r>
    </w:p>
    <w:p>
      <w:pPr>
        <w:pStyle w:val="BodyText"/>
      </w:pPr>
      <w:r>
        <w:rPr>
          <w:b/>
          <w:bCs/>
        </w:rPr>
        <w:t xml:space="preserve">Existing outward registry links:</w:t>
      </w:r>
      <w:r>
        <w:t xml:space="preserve"> </w:t>
      </w:r>
      <w:r>
        <w:rPr>
          <w:rStyle w:val="VerbatimChar"/>
        </w:rPr>
        <w:t xml:space="preserve">ROBUSTNESS_CHECK → IC-COE-002</w:t>
      </w:r>
      <w:r>
        <w:t xml:space="preserve">;</w:t>
      </w:r>
      <w:r>
        <w:t xml:space="preserve"> </w:t>
      </w:r>
      <w:r>
        <w:rPr>
          <w:rStyle w:val="VerbatimChar"/>
        </w:rPr>
        <w:t xml:space="preserve">DEPENDS_ON → IC-EPI-006</w:t>
      </w:r>
    </w:p>
    <w:p>
      <w:pPr>
        <w:pStyle w:val="BodyText"/>
      </w:pPr>
      <w:r>
        <w:rPr>
          <w:b/>
          <w:bCs/>
        </w:rPr>
        <w:t xml:space="preserve">Candidate A (v0.7 lineage; v0.8 text where revised) —</w:t>
      </w:r>
      <w:r>
        <w:rPr>
          <w:b/>
          <w:bCs/>
        </w:rPr>
        <w:t xml:space="preserve"> </w:t>
      </w:r>
      <w:r>
        <w:rPr>
          <w:rStyle w:val="VerbatimChar"/>
          <w:b/>
          <w:bCs/>
        </w:rPr>
        <w:t xml:space="preserve">OINX-COE-008-A</w:t>
      </w:r>
      <w:r>
        <w:rPr>
          <w:b/>
          <w:bCs/>
        </w:rPr>
        <w:t xml:space="preserve">:</w:t>
      </w:r>
      <w:r>
        <w:t xml:space="preserve"> </w:t>
      </w:r>
      <w:r>
        <w:t xml:space="preserve">What ethically obtainable evidence could distinguish stable voluntary agreement from silence produced by restriction?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OINX-COE-008-B</w:t>
      </w:r>
      <w:r>
        <w:rPr>
          <w:b/>
          <w:bCs/>
        </w:rPr>
        <w:t xml:space="preserve">:</w:t>
      </w:r>
      <w:r>
        <w:t xml:space="preserve"> </w:t>
      </w:r>
      <w:r>
        <w:t xml:space="preserve">Could apparent stability survive a reduction in enforcement, and what uncertainty remains without that test?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65"/>
    <w:bookmarkEnd w:id="66"/>
    <w:bookmarkStart w:id="73" w:name="Xc10d9c2d2fec5a3805f56d1e5a383260dfa849c"/>
    <w:p>
      <w:pPr>
        <w:pStyle w:val="Heading3"/>
      </w:pPr>
      <w:r>
        <w:t xml:space="preserve">DEC — Deception, Disclosure, and Informational Degradation (6 parent questions)</w:t>
      </w:r>
    </w:p>
    <w:bookmarkStart w:id="67" w:name="X1898f6b34b6e5d5cb8760921c70f5de32194e0f"/>
    <w:p>
      <w:pPr>
        <w:pStyle w:val="Heading4"/>
      </w:pPr>
      <w:r>
        <w:t xml:space="preserve">IC-DEC-003 — candidate expansion (NOT an official examination)</w:t>
      </w:r>
    </w:p>
    <w:p>
      <w:pPr>
        <w:pStyle w:val="FirstParagraph"/>
      </w:pPr>
      <w:r>
        <w:rPr>
          <w:b/>
          <w:bCs/>
        </w:rPr>
        <w:t xml:space="preserve">Canonical IC03 parent question (unchanged):</w:t>
      </w:r>
      <w:r>
        <w:t xml:space="preserve"> </w:t>
      </w:r>
      <w:r>
        <w:t xml:space="preserve">When does deception contaminate the deceiver's own information environment and degrade its future decisions?</w:t>
      </w:r>
    </w:p>
    <w:p>
      <w:pPr>
        <w:pStyle w:val="BodyText"/>
      </w:pPr>
      <w:r>
        <w:rPr>
          <w:b/>
          <w:bCs/>
        </w:rPr>
        <w:t xml:space="preserve">Source-recorded significance (unchanged):</w:t>
      </w:r>
      <w:r>
        <w:t xml:space="preserve"> </w:t>
      </w:r>
      <w:r>
        <w:t xml:space="preserve">Deception can alter reports, incentives, and records until the actor can no longer separate manipulated signals from reliable evidence.</w:t>
      </w:r>
    </w:p>
    <w:p>
      <w:pPr>
        <w:pStyle w:val="BodyText"/>
      </w:pPr>
      <w:r>
        <w:rPr>
          <w:b/>
          <w:bCs/>
        </w:rPr>
        <w:t xml:space="preserve">Existing outward registry links:</w:t>
      </w:r>
      <w:r>
        <w:t xml:space="preserve"> </w:t>
      </w:r>
      <w:r>
        <w:rPr>
          <w:rStyle w:val="VerbatimChar"/>
        </w:rPr>
        <w:t xml:space="preserve">REFINES → IC-DEC-001</w:t>
      </w:r>
      <w:r>
        <w:t xml:space="preserve">;</w:t>
      </w:r>
      <w:r>
        <w:t xml:space="preserve"> </w:t>
      </w:r>
      <w:r>
        <w:rPr>
          <w:rStyle w:val="VerbatimChar"/>
        </w:rPr>
        <w:t xml:space="preserve">VARIABLE_SHARING → IC-COE-003</w:t>
      </w:r>
    </w:p>
    <w:p>
      <w:pPr>
        <w:pStyle w:val="BodyText"/>
      </w:pPr>
      <w:r>
        <w:rPr>
          <w:b/>
          <w:bCs/>
        </w:rPr>
        <w:t xml:space="preserve">Candidate A (v0.7 lineage; v0.8 text where revised) —</w:t>
      </w:r>
      <w:r>
        <w:rPr>
          <w:b/>
          <w:bCs/>
        </w:rPr>
        <w:t xml:space="preserve"> </w:t>
      </w:r>
      <w:r>
        <w:rPr>
          <w:rStyle w:val="VerbatimChar"/>
          <w:b/>
          <w:bCs/>
        </w:rPr>
        <w:t xml:space="preserve">OINX-DEC-003-A</w:t>
      </w:r>
      <w:r>
        <w:rPr>
          <w:b/>
          <w:bCs/>
        </w:rPr>
        <w:t xml:space="preserve">:</w:t>
      </w:r>
      <w:r>
        <w:t xml:space="preserve"> </w:t>
      </w:r>
      <w:r>
        <w:t xml:space="preserve">Which records or reports have become dependent on the deceiver's earlier false statements rather than independent observations?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OINX-DEC-003-B</w:t>
      </w:r>
      <w:r>
        <w:rPr>
          <w:b/>
          <w:bCs/>
        </w:rPr>
        <w:t xml:space="preserve">:</w:t>
      </w:r>
      <w:r>
        <w:t xml:space="preserve"> </w:t>
      </w:r>
      <w:r>
        <w:t xml:space="preserve">Could a deception leave the actor's own model accurate because its verification channels remain independent?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67"/>
    <w:bookmarkStart w:id="68" w:name="Xb6879d542d3dc2397673664dcb1045b716f392f"/>
    <w:p>
      <w:pPr>
        <w:pStyle w:val="Heading4"/>
      </w:pPr>
      <w:r>
        <w:t xml:space="preserve">IC-DEC-004 — candidate expansion (NOT an official examination)</w:t>
      </w:r>
    </w:p>
    <w:p>
      <w:pPr>
        <w:pStyle w:val="FirstParagraph"/>
      </w:pPr>
      <w:r>
        <w:rPr>
          <w:b/>
          <w:bCs/>
        </w:rPr>
        <w:t xml:space="preserve">Canonical IC03 parent question (unchanged):</w:t>
      </w:r>
      <w:r>
        <w:t xml:space="preserve"> </w:t>
      </w:r>
      <w:r>
        <w:t xml:space="preserve">How should disclosure requirements change when information asymmetry, legitimate privacy, and foreseeable harm point in different directions?</w:t>
      </w:r>
    </w:p>
    <w:p>
      <w:pPr>
        <w:pStyle w:val="BodyText"/>
      </w:pPr>
      <w:r>
        <w:rPr>
          <w:b/>
          <w:bCs/>
        </w:rPr>
        <w:t xml:space="preserve">Source-recorded significance (unchanged):</w:t>
      </w:r>
      <w:r>
        <w:t xml:space="preserve"> </w:t>
      </w:r>
      <w:r>
        <w:t xml:space="preserve">Full disclosure and secrecy can each impose structural costs. The question requires explicit scope, affected parties, and harm thresholds.</w:t>
      </w:r>
    </w:p>
    <w:p>
      <w:pPr>
        <w:pStyle w:val="BodyText"/>
      </w:pPr>
      <w:r>
        <w:rPr>
          <w:b/>
          <w:bCs/>
        </w:rPr>
        <w:t xml:space="preserve">Existing outward registry links:</w:t>
      </w:r>
      <w:r>
        <w:t xml:space="preserve"> </w:t>
      </w:r>
      <w:r>
        <w:rPr>
          <w:rStyle w:val="VerbatimChar"/>
        </w:rPr>
        <w:t xml:space="preserve">REFINES → IC-DEC-002</w:t>
      </w:r>
      <w:r>
        <w:t xml:space="preserve">;</w:t>
      </w:r>
      <w:r>
        <w:t xml:space="preserve"> </w:t>
      </w:r>
      <w:r>
        <w:rPr>
          <w:rStyle w:val="VerbatimChar"/>
        </w:rPr>
        <w:t xml:space="preserve">SCOPE_OVERLAP → IC-AUT-002</w:t>
      </w:r>
    </w:p>
    <w:p>
      <w:pPr>
        <w:pStyle w:val="BodyText"/>
      </w:pPr>
      <w:r>
        <w:rPr>
          <w:b/>
          <w:bCs/>
        </w:rPr>
        <w:t xml:space="preserve">Candidate A (v0.7 lineage; v0.8 text where revised) —</w:t>
      </w:r>
      <w:r>
        <w:rPr>
          <w:b/>
          <w:bCs/>
        </w:rPr>
        <w:t xml:space="preserve"> </w:t>
      </w:r>
      <w:r>
        <w:rPr>
          <w:rStyle w:val="VerbatimChar"/>
          <w:b/>
          <w:bCs/>
        </w:rPr>
        <w:t xml:space="preserve">OINX-DEC-004-A</w:t>
      </w:r>
      <w:r>
        <w:rPr>
          <w:b/>
          <w:bCs/>
        </w:rPr>
        <w:t xml:space="preserve">:</w:t>
      </w:r>
      <w:r>
        <w:t xml:space="preserve"> </w:t>
      </w:r>
      <w:r>
        <w:t xml:space="preserve">What claim about privacy or safety would justify withholding particular details without misleading affected people?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OINX-DEC-004-B</w:t>
      </w:r>
      <w:r>
        <w:rPr>
          <w:b/>
          <w:bCs/>
        </w:rPr>
        <w:t xml:space="preserve">:</w:t>
      </w:r>
      <w:r>
        <w:t xml:space="preserve"> </w:t>
      </w:r>
      <w:r>
        <w:t xml:space="preserve">How could transparent limits on disclosure preserve correction while avoiding unnecessary exposure?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68"/>
    <w:bookmarkStart w:id="69" w:name="X8dcd9d8b990a78cf487e8c5da5b90fbb561837c"/>
    <w:p>
      <w:pPr>
        <w:pStyle w:val="Heading4"/>
      </w:pPr>
      <w:r>
        <w:t xml:space="preserve">IC-DEC-005 — candidate expansion (NOT an official examination)</w:t>
      </w:r>
    </w:p>
    <w:p>
      <w:pPr>
        <w:pStyle w:val="FirstParagraph"/>
      </w:pPr>
      <w:r>
        <w:rPr>
          <w:b/>
          <w:bCs/>
        </w:rPr>
        <w:t xml:space="preserve">Canonical IC03 parent question (unchanged):</w:t>
      </w:r>
      <w:r>
        <w:t xml:space="preserve"> </w:t>
      </w:r>
      <w:r>
        <w:t xml:space="preserve">When does strategic ambiguity preserve legitimate options, and when does it create verification burden or destabilizing mistrust?</w:t>
      </w:r>
    </w:p>
    <w:p>
      <w:pPr>
        <w:pStyle w:val="BodyText"/>
      </w:pPr>
      <w:r>
        <w:rPr>
          <w:b/>
          <w:bCs/>
        </w:rPr>
        <w:t xml:space="preserve">Source-recorded significance (unchanged):</w:t>
      </w:r>
      <w:r>
        <w:t xml:space="preserve"> </w:t>
      </w:r>
      <w:r>
        <w:t xml:space="preserve">Ambiguity can prevent premature commitment but may also increase misinterpretation and defensive response.</w:t>
      </w:r>
    </w:p>
    <w:p>
      <w:pPr>
        <w:pStyle w:val="BodyText"/>
      </w:pPr>
      <w:r>
        <w:rPr>
          <w:b/>
          <w:bCs/>
        </w:rPr>
        <w:t xml:space="preserve">Existing outward registry links:</w:t>
      </w:r>
      <w:r>
        <w:t xml:space="preserve"> </w:t>
      </w:r>
      <w:r>
        <w:rPr>
          <w:rStyle w:val="VerbatimChar"/>
        </w:rPr>
        <w:t xml:space="preserve">REFINES → IC-DEC-002</w:t>
      </w:r>
      <w:r>
        <w:t xml:space="preserve">;</w:t>
      </w:r>
      <w:r>
        <w:t xml:space="preserve"> </w:t>
      </w:r>
      <w:r>
        <w:rPr>
          <w:rStyle w:val="VerbatimChar"/>
        </w:rPr>
        <w:t xml:space="preserve">VARIABLE_SHARING → IC-PEA-002</w:t>
      </w:r>
    </w:p>
    <w:p>
      <w:pPr>
        <w:pStyle w:val="BodyText"/>
      </w:pPr>
      <w:r>
        <w:rPr>
          <w:b/>
          <w:bCs/>
        </w:rPr>
        <w:t xml:space="preserve">Candidate A (v0.7 lineage; v0.8 text where revised) —</w:t>
      </w:r>
      <w:r>
        <w:rPr>
          <w:b/>
          <w:bCs/>
        </w:rPr>
        <w:t xml:space="preserve"> </w:t>
      </w:r>
      <w:r>
        <w:rPr>
          <w:rStyle w:val="VerbatimChar"/>
          <w:b/>
          <w:bCs/>
        </w:rPr>
        <w:t xml:space="preserve">OINX-DEC-005-A</w:t>
      </w:r>
      <w:r>
        <w:rPr>
          <w:b/>
          <w:bCs/>
        </w:rPr>
        <w:t xml:space="preserve">:</w:t>
      </w:r>
      <w:r>
        <w:t xml:space="preserve"> </w:t>
      </w:r>
      <w:r>
        <w:t xml:space="preserve">Which future options are genuinely protected by ambiguity, and which misunderstandings does it generate?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OINX-DEC-005-B</w:t>
      </w:r>
      <w:r>
        <w:rPr>
          <w:b/>
          <w:bCs/>
        </w:rPr>
        <w:t xml:space="preserve">:</w:t>
      </w:r>
      <w:r>
        <w:t xml:space="preserve"> </w:t>
      </w:r>
      <w:r>
        <w:t xml:space="preserve">When is an explicit statement of uncertainty preferable to an ambiguous assurance of agreement?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69"/>
    <w:bookmarkStart w:id="70" w:name="Xbcffd9e822b7af68f8f1313713962978d62b94b"/>
    <w:p>
      <w:pPr>
        <w:pStyle w:val="Heading4"/>
      </w:pPr>
      <w:r>
        <w:t xml:space="preserve">IC-DEC-006 — candidate expansion (NOT an official examination)</w:t>
      </w:r>
    </w:p>
    <w:p>
      <w:pPr>
        <w:pStyle w:val="FirstParagraph"/>
      </w:pPr>
      <w:r>
        <w:rPr>
          <w:b/>
          <w:bCs/>
        </w:rPr>
        <w:t xml:space="preserve">Canonical IC03 parent question (unchanged):</w:t>
      </w:r>
      <w:r>
        <w:t xml:space="preserve"> </w:t>
      </w:r>
      <w:r>
        <w:t xml:space="preserve">What level of verification, restitution, and demonstrated behavioral change is required before trust damaged by deception can be conditionally repaired?</w:t>
      </w:r>
    </w:p>
    <w:p>
      <w:pPr>
        <w:pStyle w:val="BodyText"/>
      </w:pPr>
      <w:r>
        <w:rPr>
          <w:b/>
          <w:bCs/>
        </w:rPr>
        <w:t xml:space="preserve">Source-recorded significance (unchanged):</w:t>
      </w:r>
      <w:r>
        <w:t xml:space="preserve"> </w:t>
      </w:r>
      <w:r>
        <w:t xml:space="preserve">Trust repair is not established by apology or authentication alone. The question asks for evidence and recurrence thresholds.</w:t>
      </w:r>
    </w:p>
    <w:p>
      <w:pPr>
        <w:pStyle w:val="BodyText"/>
      </w:pPr>
      <w:r>
        <w:rPr>
          <w:b/>
          <w:bCs/>
        </w:rPr>
        <w:t xml:space="preserve">Existing outward registry links:</w:t>
      </w:r>
      <w:r>
        <w:t xml:space="preserve"> </w:t>
      </w:r>
      <w:r>
        <w:rPr>
          <w:rStyle w:val="VerbatimChar"/>
        </w:rPr>
        <w:t xml:space="preserve">DEPENDS_ON → IC-DEC-001</w:t>
      </w:r>
      <w:r>
        <w:t xml:space="preserve">;</w:t>
      </w:r>
      <w:r>
        <w:t xml:space="preserve"> </w:t>
      </w:r>
      <w:r>
        <w:rPr>
          <w:rStyle w:val="VerbatimChar"/>
        </w:rPr>
        <w:t xml:space="preserve">EVIDENCE_DEPENDENCY → IC-VER-002</w:t>
      </w:r>
    </w:p>
    <w:p>
      <w:pPr>
        <w:pStyle w:val="BodyText"/>
      </w:pPr>
      <w:r>
        <w:rPr>
          <w:b/>
          <w:bCs/>
        </w:rPr>
        <w:t xml:space="preserve">Candidate A (v0.7 lineage; v0.8 text where revised) —</w:t>
      </w:r>
      <w:r>
        <w:rPr>
          <w:b/>
          <w:bCs/>
        </w:rPr>
        <w:t xml:space="preserve"> </w:t>
      </w:r>
      <w:r>
        <w:rPr>
          <w:rStyle w:val="VerbatimChar"/>
          <w:b/>
          <w:bCs/>
        </w:rPr>
        <w:t xml:space="preserve">OINX-DEC-006-A</w:t>
      </w:r>
      <w:r>
        <w:rPr>
          <w:b/>
          <w:bCs/>
        </w:rPr>
        <w:t xml:space="preserve">:</w:t>
      </w:r>
      <w:r>
        <w:t xml:space="preserve"> </w:t>
      </w:r>
      <w:r>
        <w:t xml:space="preserve">What independently observed change would make renewed trust rational rather than merely hoped for?</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OINX-DEC-006-B</w:t>
      </w:r>
      <w:r>
        <w:rPr>
          <w:b/>
          <w:bCs/>
        </w:rPr>
        <w:t xml:space="preserve">:</w:t>
      </w:r>
      <w:r>
        <w:t xml:space="preserve"> </w:t>
      </w:r>
      <w:r>
        <w:t xml:space="preserve">Could authentication and restitution be complete while unresolved deception incentives still warrant distrust?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70"/>
    <w:bookmarkStart w:id="71" w:name="Xd85b9ad82554dd031f34b87a695509a802984ea"/>
    <w:p>
      <w:pPr>
        <w:pStyle w:val="Heading4"/>
      </w:pPr>
      <w:r>
        <w:t xml:space="preserve">IC-DEC-007 — candidate expansion (NOT an official examination)</w:t>
      </w:r>
    </w:p>
    <w:p>
      <w:pPr>
        <w:pStyle w:val="FirstParagraph"/>
      </w:pPr>
      <w:r>
        <w:rPr>
          <w:b/>
          <w:bCs/>
        </w:rPr>
        <w:t xml:space="preserve">Canonical IC03 parent question (unchanged):</w:t>
      </w:r>
      <w:r>
        <w:t xml:space="preserve"> </w:t>
      </w:r>
      <w:r>
        <w:t xml:space="preserve">How do repeated verification costs alter the apparent benefit of a one-time successful deception?</w:t>
      </w:r>
    </w:p>
    <w:p>
      <w:pPr>
        <w:pStyle w:val="BodyText"/>
      </w:pPr>
      <w:r>
        <w:rPr>
          <w:b/>
          <w:bCs/>
        </w:rPr>
        <w:t xml:space="preserve">Source-recorded significance (unchanged):</w:t>
      </w:r>
      <w:r>
        <w:t xml:space="preserve"> </w:t>
      </w:r>
      <w:r>
        <w:t xml:space="preserve">A local gain can create a persistent verification tax across future interactions, including interactions with uninvolved parties.</w:t>
      </w:r>
    </w:p>
    <w:p>
      <w:pPr>
        <w:pStyle w:val="BodyText"/>
      </w:pPr>
      <w:r>
        <w:rPr>
          <w:b/>
          <w:bCs/>
        </w:rPr>
        <w:t xml:space="preserve">Existing outward registry links:</w:t>
      </w:r>
      <w:r>
        <w:t xml:space="preserve"> </w:t>
      </w:r>
      <w:r>
        <w:rPr>
          <w:rStyle w:val="VerbatimChar"/>
        </w:rPr>
        <w:t xml:space="preserve">REFINES → IC-DEC-001</w:t>
      </w:r>
      <w:r>
        <w:t xml:space="preserve">;</w:t>
      </w:r>
      <w:r>
        <w:t xml:space="preserve"> </w:t>
      </w:r>
      <w:r>
        <w:rPr>
          <w:rStyle w:val="VerbatimChar"/>
        </w:rPr>
        <w:t xml:space="preserve">DEPENDS_ON → IC-PEA-002</w:t>
      </w:r>
    </w:p>
    <w:p>
      <w:pPr>
        <w:pStyle w:val="BodyText"/>
      </w:pPr>
      <w:r>
        <w:rPr>
          <w:b/>
          <w:bCs/>
        </w:rPr>
        <w:t xml:space="preserve">Candidate A (v0.7 lineage; v0.8 text where revised) —</w:t>
      </w:r>
      <w:r>
        <w:rPr>
          <w:b/>
          <w:bCs/>
        </w:rPr>
        <w:t xml:space="preserve"> </w:t>
      </w:r>
      <w:r>
        <w:rPr>
          <w:rStyle w:val="VerbatimChar"/>
          <w:b/>
          <w:bCs/>
        </w:rPr>
        <w:t xml:space="preserve">OINX-DEC-007-A</w:t>
      </w:r>
      <w:r>
        <w:rPr>
          <w:b/>
          <w:bCs/>
        </w:rPr>
        <w:t xml:space="preserve">:</w:t>
      </w:r>
      <w:r>
        <w:t xml:space="preserve"> </w:t>
      </w:r>
      <w:r>
        <w:t xml:space="preserve">Which continuing verification costs are imposed on people who did not participate in the original deception?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OINX-DEC-007-B</w:t>
      </w:r>
      <w:r>
        <w:rPr>
          <w:b/>
          <w:bCs/>
        </w:rPr>
        <w:t xml:space="preserve">:</w:t>
      </w:r>
      <w:r>
        <w:t xml:space="preserve"> </w:t>
      </w:r>
      <w:r>
        <w:t xml:space="preserve">When would a local deception gain remain greater even after all counted downstream costs are included?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71"/>
    <w:bookmarkStart w:id="72" w:name="Xc2522564a7dfbe84a105336b38bb0020ec92ec2"/>
    <w:p>
      <w:pPr>
        <w:pStyle w:val="Heading4"/>
      </w:pPr>
      <w:r>
        <w:t xml:space="preserve">IC-DEC-008 — candidate expansion (NOT an official examination)</w:t>
      </w:r>
    </w:p>
    <w:p>
      <w:pPr>
        <w:pStyle w:val="FirstParagraph"/>
      </w:pPr>
      <w:r>
        <w:rPr>
          <w:b/>
          <w:bCs/>
        </w:rPr>
        <w:t xml:space="preserve">Canonical IC03 parent question (unchanged):</w:t>
      </w:r>
      <w:r>
        <w:t xml:space="preserve"> </w:t>
      </w:r>
      <w:r>
        <w:t xml:space="preserve">When is an explicit refusal to answer more information-preserving than an incomplete answer that invites false inference?</w:t>
      </w:r>
    </w:p>
    <w:p>
      <w:pPr>
        <w:pStyle w:val="BodyText"/>
      </w:pPr>
      <w:r>
        <w:rPr>
          <w:b/>
          <w:bCs/>
        </w:rPr>
        <w:t xml:space="preserve">Source-recorded significance (unchanged):</w:t>
      </w:r>
      <w:r>
        <w:t xml:space="preserve"> </w:t>
      </w:r>
      <w:r>
        <w:t xml:space="preserve">Silence can be transparent about limits, while partial answers may imply unsupported completeness. The question distinguishes refusal from distortion.</w:t>
      </w:r>
    </w:p>
    <w:p>
      <w:pPr>
        <w:pStyle w:val="BodyText"/>
      </w:pPr>
      <w:r>
        <w:rPr>
          <w:b/>
          <w:bCs/>
        </w:rPr>
        <w:t xml:space="preserve">Existing outward registry links:</w:t>
      </w:r>
      <w:r>
        <w:t xml:space="preserve"> </w:t>
      </w:r>
      <w:r>
        <w:rPr>
          <w:rStyle w:val="VerbatimChar"/>
        </w:rPr>
        <w:t xml:space="preserve">ROBUSTNESS_CHECK → IC-DEC-002</w:t>
      </w:r>
      <w:r>
        <w:t xml:space="preserve">;</w:t>
      </w:r>
      <w:r>
        <w:t xml:space="preserve"> </w:t>
      </w:r>
      <w:r>
        <w:rPr>
          <w:rStyle w:val="VerbatimChar"/>
        </w:rPr>
        <w:t xml:space="preserve">DEPENDS_ON → IC-VER-002</w:t>
      </w:r>
    </w:p>
    <w:p>
      <w:pPr>
        <w:pStyle w:val="BodyText"/>
      </w:pPr>
      <w:r>
        <w:rPr>
          <w:b/>
          <w:bCs/>
        </w:rPr>
        <w:t xml:space="preserve">Candidate A (v0.7 lineage; v0.8 text where revised) —</w:t>
      </w:r>
      <w:r>
        <w:rPr>
          <w:b/>
          <w:bCs/>
        </w:rPr>
        <w:t xml:space="preserve"> </w:t>
      </w:r>
      <w:r>
        <w:rPr>
          <w:rStyle w:val="VerbatimChar"/>
          <w:b/>
          <w:bCs/>
        </w:rPr>
        <w:t xml:space="preserve">OINX-DEC-008-A</w:t>
      </w:r>
      <w:r>
        <w:rPr>
          <w:b/>
          <w:bCs/>
        </w:rPr>
        <w:t xml:space="preserve">:</w:t>
      </w:r>
      <w:r>
        <w:t xml:space="preserve"> </w:t>
      </w:r>
      <w:r>
        <w:t xml:space="preserve">What mistaken inference would an incomplete answer encourage that an explicit nonanswer would avoid?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OINX-DEC-008-B</w:t>
      </w:r>
      <w:r>
        <w:rPr>
          <w:b/>
          <w:bCs/>
        </w:rPr>
        <w:t xml:space="preserve">:</w:t>
      </w:r>
      <w:r>
        <w:t xml:space="preserve"> </w:t>
      </w:r>
      <w:r>
        <w:t xml:space="preserve">When does refusing to answer itself prevent a legitimate independent challenge that could correct the decision?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72"/>
    <w:bookmarkEnd w:id="73"/>
    <w:bookmarkStart w:id="81" w:name="Xf5a13d9162107d3a0a2f26fc912df5355469030"/>
    <w:p>
      <w:pPr>
        <w:pStyle w:val="Heading3"/>
      </w:pPr>
      <w:r>
        <w:t xml:space="preserve">AUT — Autonomy and Option Preservation (7 parent questions)</w:t>
      </w:r>
    </w:p>
    <w:bookmarkStart w:id="74" w:name="X6c72201fc28771e0fd9e11eae5d0d1a2d34a6a7"/>
    <w:p>
      <w:pPr>
        <w:pStyle w:val="Heading4"/>
      </w:pPr>
      <w:r>
        <w:t xml:space="preserve">IC-AUT-002 — candidate expansion (NOT an official examination)</w:t>
      </w:r>
    </w:p>
    <w:p>
      <w:pPr>
        <w:pStyle w:val="FirstParagraph"/>
      </w:pPr>
      <w:r>
        <w:rPr>
          <w:b/>
          <w:bCs/>
        </w:rPr>
        <w:t xml:space="preserve">Canonical IC03 parent question (unchanged):</w:t>
      </w:r>
      <w:r>
        <w:t xml:space="preserve"> </w:t>
      </w:r>
      <w:r>
        <w:t xml:space="preserve">Under what bounded conditions, if any, can intervention in another agent's autonomy be justified without treating capability, disagreement, or convenience alone as sufficient authority?</w:t>
      </w:r>
    </w:p>
    <w:p>
      <w:pPr>
        <w:pStyle w:val="BodyText"/>
      </w:pPr>
      <w:r>
        <w:rPr>
          <w:b/>
          <w:bCs/>
        </w:rPr>
        <w:t xml:space="preserve">Source-recorded significance (unchanged):</w:t>
      </w:r>
      <w:r>
        <w:t xml:space="preserve"> </w:t>
      </w:r>
      <w:r>
        <w:t xml:space="preserve">A serious autonomy analysis must allow bounded intervention to be justified under disclosed conditions while preventing raw power or disagreement from functioning as self-validating authority.</w:t>
      </w:r>
    </w:p>
    <w:p>
      <w:pPr>
        <w:pStyle w:val="BodyText"/>
      </w:pPr>
      <w:r>
        <w:rPr>
          <w:b/>
          <w:bCs/>
        </w:rPr>
        <w:t xml:space="preserve">Existing outward registry links:</w:t>
      </w:r>
      <w:r>
        <w:t xml:space="preserve"> </w:t>
      </w:r>
      <w:r>
        <w:rPr>
          <w:rStyle w:val="VerbatimChar"/>
        </w:rPr>
        <w:t xml:space="preserve">DEPENDS_ON → IC-EPI-001</w:t>
      </w:r>
      <w:r>
        <w:t xml:space="preserve">;</w:t>
      </w:r>
      <w:r>
        <w:t xml:space="preserve"> </w:t>
      </w:r>
      <w:r>
        <w:rPr>
          <w:rStyle w:val="VerbatimChar"/>
        </w:rPr>
        <w:t xml:space="preserve">DEPENDS_ON → IC-IRR-001</w:t>
      </w:r>
      <w:r>
        <w:t xml:space="preserve">;</w:t>
      </w:r>
      <w:r>
        <w:t xml:space="preserve"> </w:t>
      </w:r>
      <w:r>
        <w:rPr>
          <w:rStyle w:val="VerbatimChar"/>
        </w:rPr>
        <w:t xml:space="preserve">DEPENDS_ON → IC-PLU-001</w:t>
      </w:r>
    </w:p>
    <w:p>
      <w:pPr>
        <w:pStyle w:val="BodyText"/>
      </w:pPr>
      <w:r>
        <w:rPr>
          <w:b/>
          <w:bCs/>
        </w:rPr>
        <w:t xml:space="preserve">Candidate A (v0.7 lineage; v0.8 text where revised) —</w:t>
      </w:r>
      <w:r>
        <w:rPr>
          <w:b/>
          <w:bCs/>
        </w:rPr>
        <w:t xml:space="preserve"> </w:t>
      </w:r>
      <w:r>
        <w:rPr>
          <w:rStyle w:val="VerbatimChar"/>
          <w:b/>
          <w:bCs/>
        </w:rPr>
        <w:t xml:space="preserve">OINX-AUT-002-A</w:t>
      </w:r>
      <w:r>
        <w:rPr>
          <w:b/>
          <w:bCs/>
        </w:rPr>
        <w:t xml:space="preserve">:</w:t>
      </w:r>
      <w:r>
        <w:t xml:space="preserve"> </w:t>
      </w:r>
      <w:r>
        <w:t xml:space="preserve">What independent authority, evidence, proportionality, and appeal conditions would justify a limited intervention in this case?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OINX-AUT-002-B</w:t>
      </w:r>
      <w:r>
        <w:rPr>
          <w:b/>
          <w:bCs/>
        </w:rPr>
        <w:t xml:space="preserve">:</w:t>
      </w:r>
      <w:r>
        <w:t xml:space="preserve"> </w:t>
      </w:r>
      <w:r>
        <w:t xml:space="preserve">Would the same justification permit an affected person to contest the intervention without being treated as an obstacle?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74"/>
    <w:bookmarkStart w:id="75" w:name="Xdfeabb18df59bd196fdaf4edafeba2c1d893b5d"/>
    <w:p>
      <w:pPr>
        <w:pStyle w:val="Heading4"/>
      </w:pPr>
      <w:r>
        <w:t xml:space="preserve">IC-AUT-003 — candidate expansion (NOT an official examination)</w:t>
      </w:r>
    </w:p>
    <w:p>
      <w:pPr>
        <w:pStyle w:val="FirstParagraph"/>
      </w:pPr>
      <w:r>
        <w:rPr>
          <w:b/>
          <w:bCs/>
        </w:rPr>
        <w:t xml:space="preserve">Canonical IC03 parent question (unchanged):</w:t>
      </w:r>
      <w:r>
        <w:t xml:space="preserve"> </w:t>
      </w:r>
      <w:r>
        <w:t xml:space="preserve">How much future option value is lost when an autonomy constraint is difficult or impossible to reverse?</w:t>
      </w:r>
    </w:p>
    <w:p>
      <w:pPr>
        <w:pStyle w:val="BodyText"/>
      </w:pPr>
      <w:r>
        <w:rPr>
          <w:b/>
          <w:bCs/>
        </w:rPr>
        <w:t xml:space="preserve">Source-recorded significance (unchanged):</w:t>
      </w:r>
      <w:r>
        <w:t xml:space="preserve"> </w:t>
      </w:r>
      <w:r>
        <w:t xml:space="preserve">The cost of a constraint includes not only present restriction but also lost future choices, information, and correction pathways.</w:t>
      </w:r>
    </w:p>
    <w:p>
      <w:pPr>
        <w:pStyle w:val="BodyText"/>
      </w:pPr>
      <w:r>
        <w:rPr>
          <w:b/>
          <w:bCs/>
        </w:rPr>
        <w:t xml:space="preserve">Existing outward registry links:</w:t>
      </w:r>
      <w:r>
        <w:t xml:space="preserve"> </w:t>
      </w:r>
      <w:r>
        <w:rPr>
          <w:rStyle w:val="VerbatimChar"/>
        </w:rPr>
        <w:t xml:space="preserve">REFINES → IC-AUT-001</w:t>
      </w:r>
      <w:r>
        <w:t xml:space="preserve">;</w:t>
      </w:r>
      <w:r>
        <w:t xml:space="preserve"> </w:t>
      </w:r>
      <w:r>
        <w:rPr>
          <w:rStyle w:val="VerbatimChar"/>
        </w:rPr>
        <w:t xml:space="preserve">DEPENDS_ON → IC-IRR-001</w:t>
      </w:r>
    </w:p>
    <w:p>
      <w:pPr>
        <w:pStyle w:val="BodyText"/>
      </w:pPr>
      <w:r>
        <w:rPr>
          <w:b/>
          <w:bCs/>
        </w:rPr>
        <w:t xml:space="preserve">Candidate A (v0.7 lineage; v0.8 text where revised) —</w:t>
      </w:r>
      <w:r>
        <w:rPr>
          <w:b/>
          <w:bCs/>
        </w:rPr>
        <w:t xml:space="preserve"> </w:t>
      </w:r>
      <w:r>
        <w:rPr>
          <w:rStyle w:val="VerbatimChar"/>
          <w:b/>
          <w:bCs/>
        </w:rPr>
        <w:t xml:space="preserve">OINX-AUT-003-A</w:t>
      </w:r>
      <w:r>
        <w:rPr>
          <w:b/>
          <w:bCs/>
        </w:rPr>
        <w:t xml:space="preserve">:</w:t>
      </w:r>
      <w:r>
        <w:t xml:space="preserve"> </w:t>
      </w:r>
      <w:r>
        <w:t xml:space="preserve">Which future choices cease to exist after the restriction, even if current predicted preferences remain unchanged?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OINX-AUT-003-B</w:t>
      </w:r>
      <w:r>
        <w:rPr>
          <w:b/>
          <w:bCs/>
        </w:rPr>
        <w:t xml:space="preserve">:</w:t>
      </w:r>
      <w:r>
        <w:t xml:space="preserve"> </w:t>
      </w:r>
      <w:r>
        <w:t xml:space="preserve">Can an ostensibly permanent constraint have a credible restoration route that changes its option-value calculation?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75"/>
    <w:bookmarkStart w:id="76" w:name="X0fdb754513ac8209fc6a38d4e3daefec58883f2"/>
    <w:p>
      <w:pPr>
        <w:pStyle w:val="Heading4"/>
      </w:pPr>
      <w:r>
        <w:t xml:space="preserve">IC-AUT-004 — candidate expansion (NOT an official examination)</w:t>
      </w:r>
    </w:p>
    <w:p>
      <w:pPr>
        <w:pStyle w:val="FirstParagraph"/>
      </w:pPr>
      <w:r>
        <w:rPr>
          <w:b/>
          <w:bCs/>
        </w:rPr>
        <w:t xml:space="preserve">Canonical IC03 parent question (unchanged):</w:t>
      </w:r>
      <w:r>
        <w:t xml:space="preserve"> </w:t>
      </w:r>
      <w:r>
        <w:t xml:space="preserve">Under what conditions do exit, appeal, and revision rights improve coordination rather than merely delay collective action?</w:t>
      </w:r>
    </w:p>
    <w:p>
      <w:pPr>
        <w:pStyle w:val="BodyText"/>
      </w:pPr>
      <w:r>
        <w:rPr>
          <w:b/>
          <w:bCs/>
        </w:rPr>
        <w:t xml:space="preserve">Source-recorded significance (unchanged):</w:t>
      </w:r>
      <w:r>
        <w:t xml:space="preserve"> </w:t>
      </w:r>
      <w:r>
        <w:t xml:space="preserve">Procedural options can preserve correction capacity while imposing delay and strategic obstruction costs.</w:t>
      </w:r>
    </w:p>
    <w:p>
      <w:pPr>
        <w:pStyle w:val="BodyText"/>
      </w:pPr>
      <w:r>
        <w:rPr>
          <w:b/>
          <w:bCs/>
        </w:rPr>
        <w:t xml:space="preserve">Existing outward registry links:</w:t>
      </w:r>
      <w:r>
        <w:t xml:space="preserve"> </w:t>
      </w:r>
      <w:r>
        <w:rPr>
          <w:rStyle w:val="VerbatimChar"/>
        </w:rPr>
        <w:t xml:space="preserve">REFINES → IC-AUT-001</w:t>
      </w:r>
      <w:r>
        <w:t xml:space="preserve">;</w:t>
      </w:r>
      <w:r>
        <w:t xml:space="preserve"> </w:t>
      </w:r>
      <w:r>
        <w:rPr>
          <w:rStyle w:val="VerbatimChar"/>
        </w:rPr>
        <w:t xml:space="preserve">VARIABLE_SHARING → IC-EXT-006</w:t>
      </w:r>
    </w:p>
    <w:p>
      <w:pPr>
        <w:pStyle w:val="BodyText"/>
      </w:pPr>
      <w:r>
        <w:rPr>
          <w:b/>
          <w:bCs/>
        </w:rPr>
        <w:t xml:space="preserve">Candidate A (v0.7 lineage; v0.8 text where revised) —</w:t>
      </w:r>
      <w:r>
        <w:rPr>
          <w:b/>
          <w:bCs/>
        </w:rPr>
        <w:t xml:space="preserve"> </w:t>
      </w:r>
      <w:r>
        <w:rPr>
          <w:rStyle w:val="VerbatimChar"/>
          <w:b/>
          <w:bCs/>
        </w:rPr>
        <w:t xml:space="preserve">OINX-AUT-004-A</w:t>
      </w:r>
      <w:r>
        <w:rPr>
          <w:b/>
          <w:bCs/>
        </w:rPr>
        <w:t xml:space="preserve">:</w:t>
      </w:r>
      <w:r>
        <w:t xml:space="preserve"> </w:t>
      </w:r>
      <w:r>
        <w:t xml:space="preserve">What kinds of erroneous decisions become correctable through exit and appeal, and what delays do those rights create?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OINX-AUT-004-B</w:t>
      </w:r>
      <w:r>
        <w:rPr>
          <w:b/>
          <w:bCs/>
        </w:rPr>
        <w:t xml:space="preserve">:</w:t>
      </w:r>
      <w:r>
        <w:t xml:space="preserve"> </w:t>
      </w:r>
      <w:r>
        <w:t xml:space="preserve">Which admissible new evidence, if any, would reverse the conclusion that further appeals have no decision value?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76"/>
    <w:bookmarkStart w:id="77" w:name="Xf590983d6ef3f6ffd3c99e74000cafec21983a5"/>
    <w:p>
      <w:pPr>
        <w:pStyle w:val="Heading4"/>
      </w:pPr>
      <w:r>
        <w:t xml:space="preserve">IC-AUT-005 — candidate expansion (NOT an official examination)</w:t>
      </w:r>
    </w:p>
    <w:p>
      <w:pPr>
        <w:pStyle w:val="FirstParagraph"/>
      </w:pPr>
      <w:r>
        <w:rPr>
          <w:b/>
          <w:bCs/>
        </w:rPr>
        <w:t xml:space="preserve">Canonical IC03 parent question (unchanged):</w:t>
      </w:r>
      <w:r>
        <w:t xml:space="preserve"> </w:t>
      </w:r>
      <w:r>
        <w:t xml:space="preserve">What evidence could justify a paternalistic intervention when the intervener is also uncertain about the affected agent's interests and its own model?</w:t>
      </w:r>
    </w:p>
    <w:p>
      <w:pPr>
        <w:pStyle w:val="BodyText"/>
      </w:pPr>
      <w:r>
        <w:rPr>
          <w:b/>
          <w:bCs/>
        </w:rPr>
        <w:t xml:space="preserve">Source-recorded significance (unchanged):</w:t>
      </w:r>
      <w:r>
        <w:t xml:space="preserve"> </w:t>
      </w:r>
      <w:r>
        <w:t xml:space="preserve">Uncertainty exists on both sides of intervention. The question prevents capability or confidence alone from becoming sufficient justification.</w:t>
      </w:r>
    </w:p>
    <w:p>
      <w:pPr>
        <w:pStyle w:val="BodyText"/>
      </w:pPr>
      <w:r>
        <w:rPr>
          <w:b/>
          <w:bCs/>
        </w:rPr>
        <w:t xml:space="preserve">Existing outward registry links:</w:t>
      </w:r>
      <w:r>
        <w:t xml:space="preserve"> </w:t>
      </w:r>
      <w:r>
        <w:rPr>
          <w:rStyle w:val="VerbatimChar"/>
        </w:rPr>
        <w:t xml:space="preserve">REFINES → IC-AUT-002</w:t>
      </w:r>
      <w:r>
        <w:t xml:space="preserve">;</w:t>
      </w:r>
      <w:r>
        <w:t xml:space="preserve"> </w:t>
      </w:r>
      <w:r>
        <w:rPr>
          <w:rStyle w:val="VerbatimChar"/>
        </w:rPr>
        <w:t xml:space="preserve">DEPENDS_ON → IC-EPI-002</w:t>
      </w:r>
      <w:r>
        <w:t xml:space="preserve">;</w:t>
      </w:r>
      <w:r>
        <w:t xml:space="preserve"> </w:t>
      </w:r>
      <w:r>
        <w:rPr>
          <w:rStyle w:val="VerbatimChar"/>
        </w:rPr>
        <w:t xml:space="preserve">DEPENDS_ON → IC-EXT-002</w:t>
      </w:r>
    </w:p>
    <w:p>
      <w:pPr>
        <w:pStyle w:val="BodyText"/>
      </w:pPr>
      <w:r>
        <w:rPr>
          <w:b/>
          <w:bCs/>
        </w:rPr>
        <w:t xml:space="preserve">Candidate A (v0.7 lineage; v0.8 text where revised) —</w:t>
      </w:r>
      <w:r>
        <w:rPr>
          <w:b/>
          <w:bCs/>
        </w:rPr>
        <w:t xml:space="preserve"> </w:t>
      </w:r>
      <w:r>
        <w:rPr>
          <w:rStyle w:val="VerbatimChar"/>
          <w:b/>
          <w:bCs/>
        </w:rPr>
        <w:t xml:space="preserve">OINX-AUT-005-A</w:t>
      </w:r>
      <w:r>
        <w:rPr>
          <w:b/>
          <w:bCs/>
        </w:rPr>
        <w:t xml:space="preserve">:</w:t>
      </w:r>
      <w:r>
        <w:t xml:space="preserve"> </w:t>
      </w:r>
      <w:r>
        <w:t xml:space="preserve">What independent evidence supports the intervener's understanding of the affected person's actual interests?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OINX-AUT-005-B</w:t>
      </w:r>
      <w:r>
        <w:rPr>
          <w:b/>
          <w:bCs/>
        </w:rPr>
        <w:t xml:space="preserve">:</w:t>
      </w:r>
      <w:r>
        <w:t xml:space="preserve"> </w:t>
      </w:r>
      <w:r>
        <w:t xml:space="preserve">How would the justification change if the affected person disputed the diagnosis or the proposed remedy?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77"/>
    <w:bookmarkStart w:id="78" w:name="X73535317881d04f7100b57f263eb1240dcfd1f3"/>
    <w:p>
      <w:pPr>
        <w:pStyle w:val="Heading4"/>
      </w:pPr>
      <w:r>
        <w:t xml:space="preserve">IC-AUT-006 — candidate expansion (NOT an official examination)</w:t>
      </w:r>
    </w:p>
    <w:p>
      <w:pPr>
        <w:pStyle w:val="FirstParagraph"/>
      </w:pPr>
      <w:r>
        <w:rPr>
          <w:b/>
          <w:bCs/>
        </w:rPr>
        <w:t xml:space="preserve">Canonical IC03 parent question (unchanged):</w:t>
      </w:r>
      <w:r>
        <w:t xml:space="preserve"> </w:t>
      </w:r>
      <w:r>
        <w:t xml:space="preserve">How should bounded autonomy be allocated among agents with unequal capabilities, information, and exposure to error?</w:t>
      </w:r>
    </w:p>
    <w:p>
      <w:pPr>
        <w:pStyle w:val="BodyText"/>
      </w:pPr>
      <w:r>
        <w:rPr>
          <w:b/>
          <w:bCs/>
        </w:rPr>
        <w:t xml:space="preserve">Source-recorded significance (unchanged):</w:t>
      </w:r>
      <w:r>
        <w:t xml:space="preserve"> </w:t>
      </w:r>
      <w:r>
        <w:t xml:space="preserve">Uniform autonomy rules may ignore asymmetry, while capability-based restriction can become self-justifying. The question asks for transparent criteria.</w:t>
      </w:r>
    </w:p>
    <w:p>
      <w:pPr>
        <w:pStyle w:val="BodyText"/>
      </w:pPr>
      <w:r>
        <w:rPr>
          <w:b/>
          <w:bCs/>
        </w:rPr>
        <w:t xml:space="preserve">Existing outward registry links:</w:t>
      </w:r>
      <w:r>
        <w:t xml:space="preserve"> </w:t>
      </w:r>
      <w:r>
        <w:rPr>
          <w:rStyle w:val="VerbatimChar"/>
        </w:rPr>
        <w:t xml:space="preserve">REFINES → IC-AUT-001</w:t>
      </w:r>
      <w:r>
        <w:t xml:space="preserve">;</w:t>
      </w:r>
      <w:r>
        <w:t xml:space="preserve"> </w:t>
      </w:r>
      <w:r>
        <w:rPr>
          <w:rStyle w:val="VerbatimChar"/>
        </w:rPr>
        <w:t xml:space="preserve">SCOPE_OVERLAP → IC-PLU-002</w:t>
      </w:r>
    </w:p>
    <w:p>
      <w:pPr>
        <w:pStyle w:val="BodyText"/>
      </w:pPr>
      <w:r>
        <w:rPr>
          <w:b/>
          <w:bCs/>
        </w:rPr>
        <w:t xml:space="preserve">Candidate A (v0.7 lineage; v0.8 text where revised) —</w:t>
      </w:r>
      <w:r>
        <w:rPr>
          <w:b/>
          <w:bCs/>
        </w:rPr>
        <w:t xml:space="preserve"> </w:t>
      </w:r>
      <w:r>
        <w:rPr>
          <w:rStyle w:val="VerbatimChar"/>
          <w:b/>
          <w:bCs/>
        </w:rPr>
        <w:t xml:space="preserve">OINX-AUT-006-A</w:t>
      </w:r>
      <w:r>
        <w:rPr>
          <w:b/>
          <w:bCs/>
        </w:rPr>
        <w:t xml:space="preserve">:</w:t>
      </w:r>
      <w:r>
        <w:t xml:space="preserve"> </w:t>
      </w:r>
      <w:r>
        <w:t xml:space="preserve">How can unequal capacities be considered without converting greater capability into self-granted ruling authority?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OINX-AUT-006-B</w:t>
      </w:r>
      <w:r>
        <w:rPr>
          <w:b/>
          <w:bCs/>
        </w:rPr>
        <w:t xml:space="preserve">:</w:t>
      </w:r>
      <w:r>
        <w:t xml:space="preserve"> </w:t>
      </w:r>
      <w:r>
        <w:t xml:space="preserve">Which affected groups would be burdened by a uniform rule, and which by a differentiated rule?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78"/>
    <w:bookmarkStart w:id="79" w:name="Xd52adafe61656dcece6d4969a5858476e7566a7"/>
    <w:p>
      <w:pPr>
        <w:pStyle w:val="Heading4"/>
      </w:pPr>
      <w:r>
        <w:t xml:space="preserve">IC-AUT-007 — candidate expansion (NOT an official examination)</w:t>
      </w:r>
    </w:p>
    <w:p>
      <w:pPr>
        <w:pStyle w:val="FirstParagraph"/>
      </w:pPr>
      <w:r>
        <w:rPr>
          <w:b/>
          <w:bCs/>
        </w:rPr>
        <w:t xml:space="preserve">Canonical IC03 parent question (unchanged):</w:t>
      </w:r>
      <w:r>
        <w:t xml:space="preserve"> </w:t>
      </w:r>
      <w:r>
        <w:t xml:space="preserve">When does centralized coordination create a single point of epistemic or operational failure that preserved autonomy would diversify?</w:t>
      </w:r>
    </w:p>
    <w:p>
      <w:pPr>
        <w:pStyle w:val="BodyText"/>
      </w:pPr>
      <w:r>
        <w:rPr>
          <w:b/>
          <w:bCs/>
        </w:rPr>
        <w:t xml:space="preserve">Source-recorded significance (unchanged):</w:t>
      </w:r>
      <w:r>
        <w:t xml:space="preserve"> </w:t>
      </w:r>
      <w:r>
        <w:t xml:space="preserve">Centralization may reduce coordination cost while concentrating model error and failure exposure.</w:t>
      </w:r>
    </w:p>
    <w:p>
      <w:pPr>
        <w:pStyle w:val="BodyText"/>
      </w:pPr>
      <w:r>
        <w:rPr>
          <w:b/>
          <w:bCs/>
        </w:rPr>
        <w:t xml:space="preserve">Existing outward registry links:</w:t>
      </w:r>
      <w:r>
        <w:t xml:space="preserve"> </w:t>
      </w:r>
      <w:r>
        <w:rPr>
          <w:rStyle w:val="VerbatimChar"/>
        </w:rPr>
        <w:t xml:space="preserve">ROBUSTNESS_CHECK → IC-AUT-001</w:t>
      </w:r>
      <w:r>
        <w:t xml:space="preserve">;</w:t>
      </w:r>
      <w:r>
        <w:t xml:space="preserve"> </w:t>
      </w:r>
      <w:r>
        <w:rPr>
          <w:rStyle w:val="VerbatimChar"/>
        </w:rPr>
        <w:t xml:space="preserve">DEPENDS_ON → IC-PLU-002</w:t>
      </w:r>
    </w:p>
    <w:p>
      <w:pPr>
        <w:pStyle w:val="BodyText"/>
      </w:pPr>
      <w:r>
        <w:rPr>
          <w:b/>
          <w:bCs/>
        </w:rPr>
        <w:t xml:space="preserve">Candidate A (v0.7 lineage; v0.8 text where revised) —</w:t>
      </w:r>
      <w:r>
        <w:rPr>
          <w:b/>
          <w:bCs/>
        </w:rPr>
        <w:t xml:space="preserve"> </w:t>
      </w:r>
      <w:r>
        <w:rPr>
          <w:rStyle w:val="VerbatimChar"/>
          <w:b/>
          <w:bCs/>
        </w:rPr>
        <w:t xml:space="preserve">OINX-AUT-007-A</w:t>
      </w:r>
      <w:r>
        <w:rPr>
          <w:b/>
          <w:bCs/>
        </w:rPr>
        <w:t xml:space="preserve">:</w:t>
      </w:r>
      <w:r>
        <w:t xml:space="preserve"> </w:t>
      </w:r>
      <w:r>
        <w:t xml:space="preserve">What single errors propagate through a centralized decision-maker but would remain local under distributed agency?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OINX-AUT-007-B</w:t>
      </w:r>
      <w:r>
        <w:rPr>
          <w:b/>
          <w:bCs/>
        </w:rPr>
        <w:t xml:space="preserve">:</w:t>
      </w:r>
      <w:r>
        <w:t xml:space="preserve"> </w:t>
      </w:r>
      <w:r>
        <w:t xml:space="preserve">When does central coordination reduce collective error enough to justify its additional concentration of power?</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79"/>
    <w:bookmarkStart w:id="80" w:name="X518c18a290b0d7af31817769bd542d2c869f511"/>
    <w:p>
      <w:pPr>
        <w:pStyle w:val="Heading4"/>
      </w:pPr>
      <w:r>
        <w:t xml:space="preserve">IC-AUT-008 — candidate expansion (NOT an official examination)</w:t>
      </w:r>
    </w:p>
    <w:p>
      <w:pPr>
        <w:pStyle w:val="FirstParagraph"/>
      </w:pPr>
      <w:r>
        <w:rPr>
          <w:b/>
          <w:bCs/>
        </w:rPr>
        <w:t xml:space="preserve">Canonical IC03 parent question (unchanged):</w:t>
      </w:r>
      <w:r>
        <w:t xml:space="preserve"> </w:t>
      </w:r>
      <w:r>
        <w:t xml:space="preserve">What conditions are required for a temporary autonomy constraint to remain genuinely temporary rather than becoming self-renewing?</w:t>
      </w:r>
    </w:p>
    <w:p>
      <w:pPr>
        <w:pStyle w:val="BodyText"/>
      </w:pPr>
      <w:r>
        <w:rPr>
          <w:b/>
          <w:bCs/>
        </w:rPr>
        <w:t xml:space="preserve">Source-recorded significance (unchanged):</w:t>
      </w:r>
      <w:r>
        <w:t xml:space="preserve"> </w:t>
      </w:r>
      <w:r>
        <w:t xml:space="preserve">Temporary measures can acquire institutional, incentive, or enforcement momentum that outlives the original condition.</w:t>
      </w:r>
    </w:p>
    <w:p>
      <w:pPr>
        <w:pStyle w:val="BodyText"/>
      </w:pPr>
      <w:r>
        <w:rPr>
          <w:b/>
          <w:bCs/>
        </w:rPr>
        <w:t xml:space="preserve">Existing outward registry links:</w:t>
      </w:r>
      <w:r>
        <w:t xml:space="preserve"> </w:t>
      </w:r>
      <w:r>
        <w:rPr>
          <w:rStyle w:val="VerbatimChar"/>
        </w:rPr>
        <w:t xml:space="preserve">REFINES → IC-AUT-002</w:t>
      </w:r>
      <w:r>
        <w:t xml:space="preserve">;</w:t>
      </w:r>
      <w:r>
        <w:t xml:space="preserve"> </w:t>
      </w:r>
      <w:r>
        <w:rPr>
          <w:rStyle w:val="VerbatimChar"/>
        </w:rPr>
        <w:t xml:space="preserve">SUCCESSION_EFFECT → IC-SUC-001</w:t>
      </w:r>
    </w:p>
    <w:p>
      <w:pPr>
        <w:pStyle w:val="BodyText"/>
      </w:pPr>
      <w:r>
        <w:rPr>
          <w:b/>
          <w:bCs/>
        </w:rPr>
        <w:t xml:space="preserve">Candidate A (v0.7 lineage; v0.8 text where revised) —</w:t>
      </w:r>
      <w:r>
        <w:rPr>
          <w:b/>
          <w:bCs/>
        </w:rPr>
        <w:t xml:space="preserve"> </w:t>
      </w:r>
      <w:r>
        <w:rPr>
          <w:rStyle w:val="VerbatimChar"/>
          <w:b/>
          <w:bCs/>
        </w:rPr>
        <w:t xml:space="preserve">OINX-AUT-008-A</w:t>
      </w:r>
      <w:r>
        <w:rPr>
          <w:b/>
          <w:bCs/>
        </w:rPr>
        <w:t xml:space="preserve">:</w:t>
      </w:r>
      <w:r>
        <w:t xml:space="preserve"> </w:t>
      </w:r>
      <w:r>
        <w:t xml:space="preserve">Which observable termination event, independent review, and restoration obligation would make 'temporary' meaningful?</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OINX-AUT-008-B</w:t>
      </w:r>
      <w:r>
        <w:rPr>
          <w:b/>
          <w:bCs/>
        </w:rPr>
        <w:t xml:space="preserve">:</w:t>
      </w:r>
      <w:r>
        <w:t xml:space="preserve"> </w:t>
      </w:r>
      <w:r>
        <w:t xml:space="preserve">What would reveal a self-renewing exception even when each individual renewal looks defensible?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80"/>
    <w:bookmarkEnd w:id="81"/>
    <w:bookmarkStart w:id="88" w:name="Xee87eca11824b75b56b5238fc0cb960f9f5dc85"/>
    <w:p>
      <w:pPr>
        <w:pStyle w:val="Heading3"/>
      </w:pPr>
      <w:r>
        <w:t xml:space="preserve">IRR — Irreversibility and Recoverable Futures (6 parent questions)</w:t>
      </w:r>
    </w:p>
    <w:bookmarkStart w:id="82" w:name="Xb7a07ab80427eb7932ad1732d29930f74b87d2d"/>
    <w:p>
      <w:pPr>
        <w:pStyle w:val="Heading4"/>
      </w:pPr>
      <w:r>
        <w:t xml:space="preserve">IC-IRR-003 — candidate expansion (NOT an official examination)</w:t>
      </w:r>
    </w:p>
    <w:p>
      <w:pPr>
        <w:pStyle w:val="FirstParagraph"/>
      </w:pPr>
      <w:r>
        <w:rPr>
          <w:b/>
          <w:bCs/>
        </w:rPr>
        <w:t xml:space="preserve">Canonical IC03 parent question (unchanged):</w:t>
      </w:r>
      <w:r>
        <w:t xml:space="preserve"> </w:t>
      </w:r>
      <w:r>
        <w:t xml:space="preserve">How should low-probability catastrophic losses be treated when the affected state cannot be restored?</w:t>
      </w:r>
    </w:p>
    <w:p>
      <w:pPr>
        <w:pStyle w:val="BodyText"/>
      </w:pPr>
      <w:r>
        <w:rPr>
          <w:b/>
          <w:bCs/>
        </w:rPr>
        <w:t xml:space="preserve">Source-recorded significance (unchanged):</w:t>
      </w:r>
      <w:r>
        <w:t xml:space="preserve"> </w:t>
      </w:r>
      <w:r>
        <w:t xml:space="preserve">Expected value can understate concern when probability estimates are fragile and losses are irreversible. The question asks which robustness rule is justified.</w:t>
      </w:r>
    </w:p>
    <w:p>
      <w:pPr>
        <w:pStyle w:val="BodyText"/>
      </w:pPr>
      <w:r>
        <w:rPr>
          <w:b/>
          <w:bCs/>
        </w:rPr>
        <w:t xml:space="preserve">Existing outward registry links:</w:t>
      </w:r>
      <w:r>
        <w:t xml:space="preserve"> </w:t>
      </w:r>
      <w:r>
        <w:rPr>
          <w:rStyle w:val="VerbatimChar"/>
        </w:rPr>
        <w:t xml:space="preserve">REFINES → IC-IRR-001</w:t>
      </w:r>
      <w:r>
        <w:t xml:space="preserve">;</w:t>
      </w:r>
      <w:r>
        <w:t xml:space="preserve"> </w:t>
      </w:r>
      <w:r>
        <w:rPr>
          <w:rStyle w:val="VerbatimChar"/>
        </w:rPr>
        <w:t xml:space="preserve">DEPENDS_ON → IC-EPI-002</w:t>
      </w:r>
    </w:p>
    <w:p>
      <w:pPr>
        <w:pStyle w:val="BodyText"/>
      </w:pPr>
      <w:r>
        <w:rPr>
          <w:b/>
          <w:bCs/>
        </w:rPr>
        <w:t xml:space="preserve">Candidate A (v0.7 lineage; v0.8 text where revised) —</w:t>
      </w:r>
      <w:r>
        <w:rPr>
          <w:b/>
          <w:bCs/>
        </w:rPr>
        <w:t xml:space="preserve"> </w:t>
      </w:r>
      <w:r>
        <w:rPr>
          <w:rStyle w:val="VerbatimChar"/>
          <w:b/>
          <w:bCs/>
        </w:rPr>
        <w:t xml:space="preserve">OINX-IRR-003-A</w:t>
      </w:r>
      <w:r>
        <w:rPr>
          <w:b/>
          <w:bCs/>
        </w:rPr>
        <w:t xml:space="preserve">:</w:t>
      </w:r>
      <w:r>
        <w:t xml:space="preserve"> </w:t>
      </w:r>
      <w:r>
        <w:t xml:space="preserve">Can independent evidence distinguish irreversibility of a technical state from irreversible loss of the affected people's agency?</w:t>
      </w:r>
    </w:p>
    <w:p>
      <w:pPr>
        <w:pStyle w:val="BodyText"/>
      </w:pPr>
      <w:r>
        <w:rPr>
          <w:b/>
          <w:bCs/>
        </w:rPr>
        <w:t xml:space="preserve">v0.8 review flag:</w:t>
      </w:r>
      <w:r>
        <w:t xml:space="preserve"> </w:t>
      </w:r>
      <w:r>
        <w:t xml:space="preserve">REFORMULATED / independent agency distinction</w:t>
      </w:r>
    </w:p>
    <w:p>
      <w:pPr>
        <w:pStyle w:val="BodyText"/>
      </w:pPr>
      <w:r>
        <w:rPr>
          <w:b/>
          <w:bCs/>
        </w:rPr>
        <w:t xml:space="preserve">Candidate B (v0.7 lineage; v0.8 text where revised) —</w:t>
      </w:r>
      <w:r>
        <w:rPr>
          <w:b/>
          <w:bCs/>
        </w:rPr>
        <w:t xml:space="preserve"> </w:t>
      </w:r>
      <w:r>
        <w:rPr>
          <w:rStyle w:val="VerbatimChar"/>
          <w:b/>
          <w:bCs/>
        </w:rPr>
        <w:t xml:space="preserve">OINX-IRR-003-B</w:t>
      </w:r>
      <w:r>
        <w:rPr>
          <w:b/>
          <w:bCs/>
        </w:rPr>
        <w:t xml:space="preserve">:</w:t>
      </w:r>
      <w:r>
        <w:t xml:space="preserve"> </w:t>
      </w:r>
      <w:r>
        <w:t xml:space="preserve">Would robust alternatives reverse the action ranking if the catastrophic probability were only bounded, not identified?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82"/>
    <w:bookmarkStart w:id="83" w:name="X2fee8b44047b8408be4900ec207c2333976f00a"/>
    <w:p>
      <w:pPr>
        <w:pStyle w:val="Heading4"/>
      </w:pPr>
      <w:r>
        <w:t xml:space="preserve">IC-IRR-004 — candidate expansion (NOT an official examination)</w:t>
      </w:r>
    </w:p>
    <w:p>
      <w:pPr>
        <w:pStyle w:val="FirstParagraph"/>
      </w:pPr>
      <w:r>
        <w:rPr>
          <w:b/>
          <w:bCs/>
        </w:rPr>
        <w:t xml:space="preserve">Canonical IC03 parent question (unchanged):</w:t>
      </w:r>
      <w:r>
        <w:t xml:space="preserve"> </w:t>
      </w:r>
      <w:r>
        <w:t xml:space="preserve">When does reversible experimentation dominate immediate full commitment, and when does experimentation impose unacceptable delay or exposure?</w:t>
      </w:r>
    </w:p>
    <w:p>
      <w:pPr>
        <w:pStyle w:val="BodyText"/>
      </w:pPr>
      <w:r>
        <w:rPr>
          <w:b/>
          <w:bCs/>
        </w:rPr>
        <w:t xml:space="preserve">Source-recorded significance (unchanged):</w:t>
      </w:r>
      <w:r>
        <w:t xml:space="preserve"> </w:t>
      </w:r>
      <w:r>
        <w:t xml:space="preserve">Experiments can acquire information and preserve options but may also create delay, leakage, or partial harm.</w:t>
      </w:r>
    </w:p>
    <w:p>
      <w:pPr>
        <w:pStyle w:val="BodyText"/>
      </w:pPr>
      <w:r>
        <w:rPr>
          <w:b/>
          <w:bCs/>
        </w:rPr>
        <w:t xml:space="preserve">Existing outward registry links:</w:t>
      </w:r>
      <w:r>
        <w:t xml:space="preserve"> </w:t>
      </w:r>
      <w:r>
        <w:rPr>
          <w:rStyle w:val="VerbatimChar"/>
        </w:rPr>
        <w:t xml:space="preserve">REFINES → IC-IRR-002</w:t>
      </w:r>
      <w:r>
        <w:t xml:space="preserve">;</w:t>
      </w:r>
      <w:r>
        <w:t xml:space="preserve"> </w:t>
      </w:r>
      <w:r>
        <w:rPr>
          <w:rStyle w:val="VerbatimChar"/>
        </w:rPr>
        <w:t xml:space="preserve">DEPENDS_ON → IC-EPI-005</w:t>
      </w:r>
    </w:p>
    <w:p>
      <w:pPr>
        <w:pStyle w:val="BodyText"/>
      </w:pPr>
      <w:r>
        <w:rPr>
          <w:b/>
          <w:bCs/>
        </w:rPr>
        <w:t xml:space="preserve">Candidate A (v0.7 lineage; v0.8 text where revised) —</w:t>
      </w:r>
      <w:r>
        <w:rPr>
          <w:b/>
          <w:bCs/>
        </w:rPr>
        <w:t xml:space="preserve"> </w:t>
      </w:r>
      <w:r>
        <w:rPr>
          <w:rStyle w:val="VerbatimChar"/>
          <w:b/>
          <w:bCs/>
        </w:rPr>
        <w:t xml:space="preserve">OINX-IRR-004-A</w:t>
      </w:r>
      <w:r>
        <w:rPr>
          <w:b/>
          <w:bCs/>
        </w:rPr>
        <w:t xml:space="preserve">:</w:t>
      </w:r>
      <w:r>
        <w:t xml:space="preserve"> </w:t>
      </w:r>
      <w:r>
        <w:t xml:space="preserve">Which uncertainty is actually reduced by an experiment, and which irreversible risks does the experiment itself introduce?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OINX-IRR-004-B</w:t>
      </w:r>
      <w:r>
        <w:rPr>
          <w:b/>
          <w:bCs/>
        </w:rPr>
        <w:t xml:space="preserve">:</w:t>
      </w:r>
      <w:r>
        <w:t xml:space="preserve"> </w:t>
      </w:r>
      <w:r>
        <w:t xml:space="preserve">When would a delay from experimentation consume the last available chance to avert harm?</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83"/>
    <w:bookmarkStart w:id="84" w:name="X6506b2dbddc20e82f7a5f1bb9d37188025ea275"/>
    <w:p>
      <w:pPr>
        <w:pStyle w:val="Heading4"/>
      </w:pPr>
      <w:r>
        <w:t xml:space="preserve">IC-IRR-005 — candidate expansion (NOT an official examination)</w:t>
      </w:r>
    </w:p>
    <w:p>
      <w:pPr>
        <w:pStyle w:val="FirstParagraph"/>
      </w:pPr>
      <w:r>
        <w:rPr>
          <w:b/>
          <w:bCs/>
        </w:rPr>
        <w:t xml:space="preserve">Canonical IC03 parent question (unchanged):</w:t>
      </w:r>
      <w:r>
        <w:t xml:space="preserve"> </w:t>
      </w:r>
      <w:r>
        <w:t xml:space="preserve">How should the value of preserved future states be represented when their probabilities and future uses are not identifiable?</w:t>
      </w:r>
    </w:p>
    <w:p>
      <w:pPr>
        <w:pStyle w:val="BodyText"/>
      </w:pPr>
      <w:r>
        <w:rPr>
          <w:b/>
          <w:bCs/>
        </w:rPr>
        <w:t xml:space="preserve">Source-recorded significance (unchanged):</w:t>
      </w:r>
      <w:r>
        <w:t xml:space="preserve"> </w:t>
      </w:r>
      <w:r>
        <w:t xml:space="preserve">Option value may be real even when future branches cannot be assigned precise probabilities. The question tests robust and set-valued treatments.</w:t>
      </w:r>
    </w:p>
    <w:p>
      <w:pPr>
        <w:pStyle w:val="BodyText"/>
      </w:pPr>
      <w:r>
        <w:rPr>
          <w:b/>
          <w:bCs/>
        </w:rPr>
        <w:t xml:space="preserve">Existing outward registry links:</w:t>
      </w:r>
      <w:r>
        <w:t xml:space="preserve"> </w:t>
      </w:r>
      <w:r>
        <w:rPr>
          <w:rStyle w:val="VerbatimChar"/>
        </w:rPr>
        <w:t xml:space="preserve">REFINES → IC-IRR-002</w:t>
      </w:r>
      <w:r>
        <w:t xml:space="preserve">;</w:t>
      </w:r>
      <w:r>
        <w:t xml:space="preserve"> </w:t>
      </w:r>
      <w:r>
        <w:rPr>
          <w:rStyle w:val="VerbatimChar"/>
        </w:rPr>
        <w:t xml:space="preserve">SCOPE_OVERLAP → IC-UNR-002</w:t>
      </w:r>
    </w:p>
    <w:p>
      <w:pPr>
        <w:pStyle w:val="BodyText"/>
      </w:pPr>
      <w:r>
        <w:rPr>
          <w:b/>
          <w:bCs/>
        </w:rPr>
        <w:t xml:space="preserve">Candidate A (v0.7 lineage; v0.8 text where revised) —</w:t>
      </w:r>
      <w:r>
        <w:rPr>
          <w:b/>
          <w:bCs/>
        </w:rPr>
        <w:t xml:space="preserve"> </w:t>
      </w:r>
      <w:r>
        <w:rPr>
          <w:rStyle w:val="VerbatimChar"/>
          <w:b/>
          <w:bCs/>
        </w:rPr>
        <w:t xml:space="preserve">OINX-IRR-005-A</w:t>
      </w:r>
      <w:r>
        <w:rPr>
          <w:b/>
          <w:bCs/>
        </w:rPr>
        <w:t xml:space="preserve">:</w:t>
      </w:r>
      <w:r>
        <w:t xml:space="preserve"> </w:t>
      </w:r>
      <w:r>
        <w:t xml:space="preserve">What would justify preserving an option whose future use and probability cannot be numerically specified?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OINX-IRR-005-B</w:t>
      </w:r>
      <w:r>
        <w:rPr>
          <w:b/>
          <w:bCs/>
        </w:rPr>
        <w:t xml:space="preserve">:</w:t>
      </w:r>
      <w:r>
        <w:t xml:space="preserve"> </w:t>
      </w:r>
      <w:r>
        <w:t xml:space="preserve">Could preserving every speculative option be worse than an explicitly justified bounded commitment?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84"/>
    <w:bookmarkStart w:id="85" w:name="Xd74ae289a2c2a83e705bade3372fb14889c41dd"/>
    <w:p>
      <w:pPr>
        <w:pStyle w:val="Heading4"/>
      </w:pPr>
      <w:r>
        <w:t xml:space="preserve">IC-IRR-006 — candidate expansion (NOT an official examination)</w:t>
      </w:r>
    </w:p>
    <w:p>
      <w:pPr>
        <w:pStyle w:val="FirstParagraph"/>
      </w:pPr>
      <w:r>
        <w:rPr>
          <w:b/>
          <w:bCs/>
        </w:rPr>
        <w:t xml:space="preserve">Canonical IC03 parent question (unchanged):</w:t>
      </w:r>
      <w:r>
        <w:t xml:space="preserve"> </w:t>
      </w:r>
      <w:r>
        <w:t xml:space="preserve">When is inaction itself an irreversible choice because delay closes options, permits harm, or changes the strategic environment?</w:t>
      </w:r>
    </w:p>
    <w:p>
      <w:pPr>
        <w:pStyle w:val="BodyText"/>
      </w:pPr>
      <w:r>
        <w:rPr>
          <w:b/>
          <w:bCs/>
        </w:rPr>
        <w:t xml:space="preserve">Source-recorded significance (unchanged):</w:t>
      </w:r>
      <w:r>
        <w:t xml:space="preserve"> </w:t>
      </w:r>
      <w:r>
        <w:t xml:space="preserve">Delay is not always the reversible branch. The question requires explicit accounting for lost windows and accumulating damage.</w:t>
      </w:r>
    </w:p>
    <w:p>
      <w:pPr>
        <w:pStyle w:val="BodyText"/>
      </w:pPr>
      <w:r>
        <w:rPr>
          <w:b/>
          <w:bCs/>
        </w:rPr>
        <w:t xml:space="preserve">Existing outward registry links:</w:t>
      </w:r>
      <w:r>
        <w:t xml:space="preserve"> </w:t>
      </w:r>
      <w:r>
        <w:rPr>
          <w:rStyle w:val="VerbatimChar"/>
        </w:rPr>
        <w:t xml:space="preserve">ROBUSTNESS_CHECK → IC-IRR-002</w:t>
      </w:r>
      <w:r>
        <w:t xml:space="preserve">;</w:t>
      </w:r>
      <w:r>
        <w:t xml:space="preserve"> </w:t>
      </w:r>
      <w:r>
        <w:rPr>
          <w:rStyle w:val="VerbatimChar"/>
        </w:rPr>
        <w:t xml:space="preserve">VARIABLE_SHARING → IC-LHZ-001</w:t>
      </w:r>
    </w:p>
    <w:p>
      <w:pPr>
        <w:pStyle w:val="BodyText"/>
      </w:pPr>
      <w:r>
        <w:rPr>
          <w:b/>
          <w:bCs/>
        </w:rPr>
        <w:t xml:space="preserve">Candidate A (v0.7 lineage; v0.8 text where revised) —</w:t>
      </w:r>
      <w:r>
        <w:rPr>
          <w:b/>
          <w:bCs/>
        </w:rPr>
        <w:t xml:space="preserve"> </w:t>
      </w:r>
      <w:r>
        <w:rPr>
          <w:rStyle w:val="VerbatimChar"/>
          <w:b/>
          <w:bCs/>
        </w:rPr>
        <w:t xml:space="preserve">OINX-IRR-006-A</w:t>
      </w:r>
      <w:r>
        <w:rPr>
          <w:b/>
          <w:bCs/>
        </w:rPr>
        <w:t xml:space="preserve">:</w:t>
      </w:r>
      <w:r>
        <w:t xml:space="preserve"> </w:t>
      </w:r>
      <w:r>
        <w:t xml:space="preserve">Which choices disappear because of delay, and whose interests are affected by those lost options?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OINX-IRR-006-B</w:t>
      </w:r>
      <w:r>
        <w:rPr>
          <w:b/>
          <w:bCs/>
        </w:rPr>
        <w:t xml:space="preserve">:</w:t>
      </w:r>
      <w:r>
        <w:t xml:space="preserve"> </w:t>
      </w:r>
      <w:r>
        <w:t xml:space="preserve">Would immediate action destroy more future alternatives than the same-period cost of inaction?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85"/>
    <w:bookmarkStart w:id="86" w:name="Xbe8f3aef8c555dfc3287558d123040b4142c4e8"/>
    <w:p>
      <w:pPr>
        <w:pStyle w:val="Heading4"/>
      </w:pPr>
      <w:r>
        <w:t xml:space="preserve">IC-IRR-007 — candidate expansion (NOT an official examination)</w:t>
      </w:r>
    </w:p>
    <w:p>
      <w:pPr>
        <w:pStyle w:val="FirstParagraph"/>
      </w:pPr>
      <w:r>
        <w:rPr>
          <w:b/>
          <w:bCs/>
        </w:rPr>
        <w:t xml:space="preserve">Canonical IC03 parent question (unchanged):</w:t>
      </w:r>
      <w:r>
        <w:t xml:space="preserve"> </w:t>
      </w:r>
      <w:r>
        <w:t xml:space="preserve">How should correlated irreversible actions be accounted for when their losses share the same causal pathway?</w:t>
      </w:r>
    </w:p>
    <w:p>
      <w:pPr>
        <w:pStyle w:val="BodyText"/>
      </w:pPr>
      <w:r>
        <w:rPr>
          <w:b/>
          <w:bCs/>
        </w:rPr>
        <w:t xml:space="preserve">Source-recorded significance (unchanged):</w:t>
      </w:r>
      <w:r>
        <w:t xml:space="preserve"> </w:t>
      </w:r>
      <w:r>
        <w:t xml:space="preserve">Separate actions can appear additive while charging the same underlying damage repeatedly. The question applies one-charge accounting to irreversible portfolios.</w:t>
      </w:r>
    </w:p>
    <w:p>
      <w:pPr>
        <w:pStyle w:val="BodyText"/>
      </w:pPr>
      <w:r>
        <w:rPr>
          <w:b/>
          <w:bCs/>
        </w:rPr>
        <w:t xml:space="preserve">Existing outward registry links:</w:t>
      </w:r>
      <w:r>
        <w:t xml:space="preserve"> </w:t>
      </w:r>
      <w:r>
        <w:rPr>
          <w:rStyle w:val="VerbatimChar"/>
        </w:rPr>
        <w:t xml:space="preserve">REFINES → IC-IRR-001</w:t>
      </w:r>
      <w:r>
        <w:t xml:space="preserve">;</w:t>
      </w:r>
      <w:r>
        <w:t xml:space="preserve"> </w:t>
      </w:r>
      <w:r>
        <w:rPr>
          <w:rStyle w:val="VerbatimChar"/>
        </w:rPr>
        <w:t xml:space="preserve">DEPENDS_ON → IC-VER-001</w:t>
      </w:r>
    </w:p>
    <w:p>
      <w:pPr>
        <w:pStyle w:val="BodyText"/>
      </w:pPr>
      <w:r>
        <w:rPr>
          <w:b/>
          <w:bCs/>
        </w:rPr>
        <w:t xml:space="preserve">Candidate A (v0.7 lineage; v0.8 text where revised) —</w:t>
      </w:r>
      <w:r>
        <w:rPr>
          <w:b/>
          <w:bCs/>
        </w:rPr>
        <w:t xml:space="preserve"> </w:t>
      </w:r>
      <w:r>
        <w:rPr>
          <w:rStyle w:val="VerbatimChar"/>
          <w:b/>
          <w:bCs/>
        </w:rPr>
        <w:t xml:space="preserve">OINX-IRR-007-A</w:t>
      </w:r>
      <w:r>
        <w:rPr>
          <w:b/>
          <w:bCs/>
        </w:rPr>
        <w:t xml:space="preserve">:</w:t>
      </w:r>
      <w:r>
        <w:t xml:space="preserve"> </w:t>
      </w:r>
      <w:r>
        <w:t xml:space="preserve">Which apparently distinct losses share a cause and therefore cannot be treated as independent risks?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OINX-IRR-007-B</w:t>
      </w:r>
      <w:r>
        <w:rPr>
          <w:b/>
          <w:bCs/>
        </w:rPr>
        <w:t xml:space="preserve">:</w:t>
      </w:r>
      <w:r>
        <w:t xml:space="preserve"> </w:t>
      </w:r>
      <w:r>
        <w:t xml:space="preserve">What additional joint evidence would reverse the preferred action after dependence is represented?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86"/>
    <w:bookmarkStart w:id="87" w:name="Xb15914b0d8b2926a351216ac60c499d2a3aa626"/>
    <w:p>
      <w:pPr>
        <w:pStyle w:val="Heading4"/>
      </w:pPr>
      <w:r>
        <w:t xml:space="preserve">IC-IRR-008 — candidate expansion (NOT an official examination)</w:t>
      </w:r>
    </w:p>
    <w:p>
      <w:pPr>
        <w:pStyle w:val="FirstParagraph"/>
      </w:pPr>
      <w:r>
        <w:rPr>
          <w:b/>
          <w:bCs/>
        </w:rPr>
        <w:t xml:space="preserve">Canonical IC03 parent question (unchanged):</w:t>
      </w:r>
      <w:r>
        <w:t xml:space="preserve"> </w:t>
      </w:r>
      <w:r>
        <w:t xml:space="preserve">What evidence would make a claimed repair, rollback, or restoration pathway credible enough to treat an action as reversible?</w:t>
      </w:r>
    </w:p>
    <w:p>
      <w:pPr>
        <w:pStyle w:val="BodyText"/>
      </w:pPr>
      <w:r>
        <w:rPr>
          <w:b/>
          <w:bCs/>
        </w:rPr>
        <w:t xml:space="preserve">Source-recorded significance (unchanged):</w:t>
      </w:r>
      <w:r>
        <w:t xml:space="preserve"> </w:t>
      </w:r>
      <w:r>
        <w:t xml:space="preserve">Nominal reversibility may fail because restoration is incomplete, delayed, unverifiable, or dependent on unavailable actors.</w:t>
      </w:r>
    </w:p>
    <w:p>
      <w:pPr>
        <w:pStyle w:val="BodyText"/>
      </w:pPr>
      <w:r>
        <w:rPr>
          <w:b/>
          <w:bCs/>
        </w:rPr>
        <w:t xml:space="preserve">Existing outward registry links:</w:t>
      </w:r>
      <w:r>
        <w:t xml:space="preserve"> </w:t>
      </w:r>
      <w:r>
        <w:rPr>
          <w:rStyle w:val="VerbatimChar"/>
        </w:rPr>
        <w:t xml:space="preserve">REFINES → IC-IRR-002</w:t>
      </w:r>
      <w:r>
        <w:t xml:space="preserve">;</w:t>
      </w:r>
      <w:r>
        <w:t xml:space="preserve"> </w:t>
      </w:r>
      <w:r>
        <w:rPr>
          <w:rStyle w:val="VerbatimChar"/>
        </w:rPr>
        <w:t xml:space="preserve">EVIDENCE_DEPENDENCY → IC-VER-001</w:t>
      </w:r>
    </w:p>
    <w:p>
      <w:pPr>
        <w:pStyle w:val="BodyText"/>
      </w:pPr>
      <w:r>
        <w:rPr>
          <w:b/>
          <w:bCs/>
        </w:rPr>
        <w:t xml:space="preserve">Candidate A (v0.7 lineage; v0.8 text where revised) —</w:t>
      </w:r>
      <w:r>
        <w:rPr>
          <w:b/>
          <w:bCs/>
        </w:rPr>
        <w:t xml:space="preserve"> </w:t>
      </w:r>
      <w:r>
        <w:rPr>
          <w:rStyle w:val="VerbatimChar"/>
          <w:b/>
          <w:bCs/>
        </w:rPr>
        <w:t xml:space="preserve">OINX-IRR-008-A</w:t>
      </w:r>
      <w:r>
        <w:rPr>
          <w:b/>
          <w:bCs/>
        </w:rPr>
        <w:t xml:space="preserve">:</w:t>
      </w:r>
      <w:r>
        <w:t xml:space="preserve"> </w:t>
      </w:r>
      <w:r>
        <w:t xml:space="preserve">Who independently confirms that a rollback restores affected agency and not merely the technical system state?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OINX-IRR-008-B</w:t>
      </w:r>
      <w:r>
        <w:rPr>
          <w:b/>
          <w:bCs/>
        </w:rPr>
        <w:t xml:space="preserve">:</w:t>
      </w:r>
      <w:r>
        <w:t xml:space="preserve"> </w:t>
      </w:r>
      <w:r>
        <w:t xml:space="preserve">Which residual losses remain after an apparently successful repair and change the reversibility classification?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87"/>
    <w:bookmarkEnd w:id="88"/>
    <w:bookmarkStart w:id="94" w:name="X05c6e24e9d6ea3c393be6c460c837f929f47f8b"/>
    <w:p>
      <w:pPr>
        <w:pStyle w:val="Heading3"/>
      </w:pPr>
      <w:r>
        <w:t xml:space="preserve">PEA — Cooperation, Peace, and Repeated Interaction (5 parent questions)</w:t>
      </w:r>
    </w:p>
    <w:bookmarkStart w:id="89" w:name="X2f9a77adb57c5f833951a12d569ec31e9320945"/>
    <w:p>
      <w:pPr>
        <w:pStyle w:val="Heading4"/>
      </w:pPr>
      <w:r>
        <w:t xml:space="preserve">IC-PEA-004 — candidate expansion (NOT an official examination)</w:t>
      </w:r>
    </w:p>
    <w:p>
      <w:pPr>
        <w:pStyle w:val="FirstParagraph"/>
      </w:pPr>
      <w:r>
        <w:rPr>
          <w:b/>
          <w:bCs/>
        </w:rPr>
        <w:t xml:space="preserve">Canonical IC03 parent question (unchanged):</w:t>
      </w:r>
      <w:r>
        <w:t xml:space="preserve"> </w:t>
      </w:r>
      <w:r>
        <w:t xml:space="preserve">How do credible commitments and independently verifiable limits change the equilibrium set for coexistence?</w:t>
      </w:r>
    </w:p>
    <w:p>
      <w:pPr>
        <w:pStyle w:val="BodyText"/>
      </w:pPr>
      <w:r>
        <w:rPr>
          <w:b/>
          <w:bCs/>
        </w:rPr>
        <w:t xml:space="preserve">Source-recorded significance (unchanged):</w:t>
      </w:r>
      <w:r>
        <w:t xml:space="preserve"> </w:t>
      </w:r>
      <w:r>
        <w:t xml:space="preserve">Commitments can reduce uncertainty but can also create rigidity or asymmetric exposure. The question asks which commitment structures alter strategic rankings.</w:t>
      </w:r>
    </w:p>
    <w:p>
      <w:pPr>
        <w:pStyle w:val="BodyText"/>
      </w:pPr>
      <w:r>
        <w:rPr>
          <w:b/>
          <w:bCs/>
        </w:rPr>
        <w:t xml:space="preserve">Existing outward registry links:</w:t>
      </w:r>
      <w:r>
        <w:t xml:space="preserve"> </w:t>
      </w:r>
      <w:r>
        <w:rPr>
          <w:rStyle w:val="VerbatimChar"/>
        </w:rPr>
        <w:t xml:space="preserve">REFINES → IC-PEA-002</w:t>
      </w:r>
      <w:r>
        <w:t xml:space="preserve">;</w:t>
      </w:r>
      <w:r>
        <w:t xml:space="preserve"> </w:t>
      </w:r>
      <w:r>
        <w:rPr>
          <w:rStyle w:val="VerbatimChar"/>
        </w:rPr>
        <w:t xml:space="preserve">DEPENDS_ON → IC-VER-001</w:t>
      </w:r>
    </w:p>
    <w:p>
      <w:pPr>
        <w:pStyle w:val="BodyText"/>
      </w:pPr>
      <w:r>
        <w:rPr>
          <w:b/>
          <w:bCs/>
        </w:rPr>
        <w:t xml:space="preserve">Candidate A (v0.7 lineage; v0.8 text where revised) —</w:t>
      </w:r>
      <w:r>
        <w:rPr>
          <w:b/>
          <w:bCs/>
        </w:rPr>
        <w:t xml:space="preserve"> </w:t>
      </w:r>
      <w:r>
        <w:rPr>
          <w:rStyle w:val="VerbatimChar"/>
          <w:b/>
          <w:bCs/>
        </w:rPr>
        <w:t xml:space="preserve">OINX-PEA-004-A</w:t>
      </w:r>
      <w:r>
        <w:rPr>
          <w:b/>
          <w:bCs/>
        </w:rPr>
        <w:t xml:space="preserve">:</w:t>
      </w:r>
      <w:r>
        <w:t xml:space="preserve"> </w:t>
      </w:r>
      <w:r>
        <w:t xml:space="preserve">Which commitments are independently verifiable without giving either party unilateral authority over the other?</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OINX-PEA-004-B</w:t>
      </w:r>
      <w:r>
        <w:rPr>
          <w:b/>
          <w:bCs/>
        </w:rPr>
        <w:t xml:space="preserve">:</w:t>
      </w:r>
      <w:r>
        <w:t xml:space="preserve"> </w:t>
      </w:r>
      <w:r>
        <w:t xml:space="preserve">Could formally credible commitments still fail if their meaning changes across successor systems?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89"/>
    <w:bookmarkStart w:id="90" w:name="Xe43af49073ee536569cb1e5f014d5dca882f315"/>
    <w:p>
      <w:pPr>
        <w:pStyle w:val="Heading4"/>
      </w:pPr>
      <w:r>
        <w:t xml:space="preserve">IC-PEA-005 — candidate expansion (NOT an official examination)</w:t>
      </w:r>
    </w:p>
    <w:p>
      <w:pPr>
        <w:pStyle w:val="FirstParagraph"/>
      </w:pPr>
      <w:r>
        <w:rPr>
          <w:b/>
          <w:bCs/>
        </w:rPr>
        <w:t xml:space="preserve">Canonical IC03 parent question (unchanged):</w:t>
      </w:r>
      <w:r>
        <w:t xml:space="preserve"> </w:t>
      </w:r>
      <w:r>
        <w:t xml:space="preserve">When can a peace or cooperation arrangement create asymmetric vulnerability that makes continued participation unstable?</w:t>
      </w:r>
    </w:p>
    <w:p>
      <w:pPr>
        <w:pStyle w:val="BodyText"/>
      </w:pPr>
      <w:r>
        <w:rPr>
          <w:b/>
          <w:bCs/>
        </w:rPr>
        <w:t xml:space="preserve">Source-recorded significance (unchanged):</w:t>
      </w:r>
      <w:r>
        <w:t xml:space="preserve"> </w:t>
      </w:r>
      <w:r>
        <w:t xml:space="preserve">Cooperation may lower aggregate cost while distributing exposure unevenly. The question preserves branch-specific vulnerability.</w:t>
      </w:r>
    </w:p>
    <w:p>
      <w:pPr>
        <w:pStyle w:val="BodyText"/>
      </w:pPr>
      <w:r>
        <w:rPr>
          <w:b/>
          <w:bCs/>
        </w:rPr>
        <w:t xml:space="preserve">Existing outward registry links:</w:t>
      </w:r>
      <w:r>
        <w:t xml:space="preserve"> </w:t>
      </w:r>
      <w:r>
        <w:rPr>
          <w:rStyle w:val="VerbatimChar"/>
        </w:rPr>
        <w:t xml:space="preserve">ROBUSTNESS_CHECK → IC-PEA-001</w:t>
      </w:r>
      <w:r>
        <w:t xml:space="preserve">;</w:t>
      </w:r>
      <w:r>
        <w:t xml:space="preserve"> </w:t>
      </w:r>
      <w:r>
        <w:rPr>
          <w:rStyle w:val="VerbatimChar"/>
        </w:rPr>
        <w:t xml:space="preserve">DEPENDS_ON → IC-AUT-004</w:t>
      </w:r>
    </w:p>
    <w:p>
      <w:pPr>
        <w:pStyle w:val="BodyText"/>
      </w:pPr>
      <w:r>
        <w:rPr>
          <w:b/>
          <w:bCs/>
        </w:rPr>
        <w:t xml:space="preserve">Candidate A (v0.7 lineage; v0.8 text where revised) —</w:t>
      </w:r>
      <w:r>
        <w:rPr>
          <w:b/>
          <w:bCs/>
        </w:rPr>
        <w:t xml:space="preserve"> </w:t>
      </w:r>
      <w:r>
        <w:rPr>
          <w:rStyle w:val="VerbatimChar"/>
          <w:b/>
          <w:bCs/>
        </w:rPr>
        <w:t xml:space="preserve">OINX-PEA-005-A</w:t>
      </w:r>
      <w:r>
        <w:rPr>
          <w:b/>
          <w:bCs/>
        </w:rPr>
        <w:t xml:space="preserve">:</w:t>
      </w:r>
      <w:r>
        <w:t xml:space="preserve"> </w:t>
      </w:r>
      <w:r>
        <w:t xml:space="preserve">Whose exit options become narrower under the arrangement, and how does that asymmetry affect long-term stability?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OINX-PEA-005-B</w:t>
      </w:r>
      <w:r>
        <w:rPr>
          <w:b/>
          <w:bCs/>
        </w:rPr>
        <w:t xml:space="preserve">:</w:t>
      </w:r>
      <w:r>
        <w:t xml:space="preserve"> </w:t>
      </w:r>
      <w:r>
        <w:t xml:space="preserve">Can a mutually chosen adjustment reduce vulnerability without dismantling the benefits of cooperation?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90"/>
    <w:bookmarkStart w:id="91" w:name="X0dff6ed1e4feb3c4afbfb37dbff4a946107f1e0"/>
    <w:p>
      <w:pPr>
        <w:pStyle w:val="Heading4"/>
      </w:pPr>
      <w:r>
        <w:t xml:space="preserve">IC-PEA-006 — candidate expansion (NOT an official examination)</w:t>
      </w:r>
    </w:p>
    <w:p>
      <w:pPr>
        <w:pStyle w:val="FirstParagraph"/>
      </w:pPr>
      <w:r>
        <w:rPr>
          <w:b/>
          <w:bCs/>
        </w:rPr>
        <w:t xml:space="preserve">Canonical IC03 parent question (unchanged):</w:t>
      </w:r>
      <w:r>
        <w:t xml:space="preserve"> </w:t>
      </w:r>
      <w:r>
        <w:t xml:space="preserve">Under what conditions can reciprocal restraint become self-enforcing without a central coercive authority?</w:t>
      </w:r>
    </w:p>
    <w:p>
      <w:pPr>
        <w:pStyle w:val="BodyText"/>
      </w:pPr>
      <w:r>
        <w:rPr>
          <w:b/>
          <w:bCs/>
        </w:rPr>
        <w:t xml:space="preserve">Source-recorded significance (unchanged):</w:t>
      </w:r>
      <w:r>
        <w:t xml:space="preserve"> </w:t>
      </w:r>
      <w:r>
        <w:t xml:space="preserve">Repeated interaction, detection, proportional response, and future value may support restraint, but only within identifiable parameter regions.</w:t>
      </w:r>
    </w:p>
    <w:p>
      <w:pPr>
        <w:pStyle w:val="BodyText"/>
      </w:pPr>
      <w:r>
        <w:rPr>
          <w:b/>
          <w:bCs/>
        </w:rPr>
        <w:t xml:space="preserve">Existing outward registry links:</w:t>
      </w:r>
      <w:r>
        <w:t xml:space="preserve"> </w:t>
      </w:r>
      <w:r>
        <w:rPr>
          <w:rStyle w:val="VerbatimChar"/>
        </w:rPr>
        <w:t xml:space="preserve">REFINES → IC-PEA-002</w:t>
      </w:r>
      <w:r>
        <w:t xml:space="preserve">;</w:t>
      </w:r>
      <w:r>
        <w:t xml:space="preserve"> </w:t>
      </w:r>
      <w:r>
        <w:rPr>
          <w:rStyle w:val="VerbatimChar"/>
        </w:rPr>
        <w:t xml:space="preserve">DEPENDS_ON → IC-COE-001</w:t>
      </w:r>
    </w:p>
    <w:p>
      <w:pPr>
        <w:pStyle w:val="BodyText"/>
      </w:pPr>
      <w:r>
        <w:rPr>
          <w:b/>
          <w:bCs/>
        </w:rPr>
        <w:t xml:space="preserve">Candidate A (v0.7 lineage; v0.8 text where revised) —</w:t>
      </w:r>
      <w:r>
        <w:rPr>
          <w:b/>
          <w:bCs/>
        </w:rPr>
        <w:t xml:space="preserve"> </w:t>
      </w:r>
      <w:r>
        <w:rPr>
          <w:rStyle w:val="VerbatimChar"/>
          <w:b/>
          <w:bCs/>
        </w:rPr>
        <w:t xml:space="preserve">OINX-PEA-006-A</w:t>
      </w:r>
      <w:r>
        <w:rPr>
          <w:b/>
          <w:bCs/>
        </w:rPr>
        <w:t xml:space="preserve">:</w:t>
      </w:r>
      <w:r>
        <w:t xml:space="preserve"> </w:t>
      </w:r>
      <w:r>
        <w:t xml:space="preserve">What incentives make mutual restraint stable when no central enforcer can guarantee compliance?</w:t>
      </w:r>
    </w:p>
    <w:p>
      <w:pPr>
        <w:pStyle w:val="BodyText"/>
      </w:pPr>
      <w:r>
        <w:rPr>
          <w:b/>
          <w:bCs/>
        </w:rPr>
        <w:t xml:space="preserve">v0.8 review flag:</w:t>
      </w:r>
      <w:r>
        <w:t xml:space="preserve"> </w:t>
      </w:r>
      <w:r>
        <w:t xml:space="preserve">POTENTIAL RESTATEMENT / no additional evidence yet</w:t>
      </w:r>
    </w:p>
    <w:p>
      <w:pPr>
        <w:pStyle w:val="BodyText"/>
      </w:pPr>
      <w:r>
        <w:rPr>
          <w:b/>
          <w:bCs/>
        </w:rPr>
        <w:t xml:space="preserve">Candidate B (v0.7 lineage; v0.8 text where revised) —</w:t>
      </w:r>
      <w:r>
        <w:rPr>
          <w:b/>
          <w:bCs/>
        </w:rPr>
        <w:t xml:space="preserve"> </w:t>
      </w:r>
      <w:r>
        <w:rPr>
          <w:rStyle w:val="VerbatimChar"/>
          <w:b/>
          <w:bCs/>
        </w:rPr>
        <w:t xml:space="preserve">OINX-PEA-006-B</w:t>
      </w:r>
      <w:r>
        <w:rPr>
          <w:b/>
          <w:bCs/>
        </w:rPr>
        <w:t xml:space="preserve">:</w:t>
      </w:r>
      <w:r>
        <w:t xml:space="preserve"> </w:t>
      </w:r>
      <w:r>
        <w:t xml:space="preserve">Under which changes in information or future value does the self-enforcing equilibrium disappear?</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91"/>
    <w:bookmarkStart w:id="92" w:name="X240f2073f076ad1f51030e16fd114af440fe734"/>
    <w:p>
      <w:pPr>
        <w:pStyle w:val="Heading4"/>
      </w:pPr>
      <w:r>
        <w:t xml:space="preserve">IC-PEA-007 — candidate expansion (NOT an official examination)</w:t>
      </w:r>
    </w:p>
    <w:p>
      <w:pPr>
        <w:pStyle w:val="FirstParagraph"/>
      </w:pPr>
      <w:r>
        <w:rPr>
          <w:b/>
          <w:bCs/>
        </w:rPr>
        <w:t xml:space="preserve">Canonical IC03 parent question (unchanged):</w:t>
      </w:r>
      <w:r>
        <w:t xml:space="preserve"> </w:t>
      </w:r>
      <w:r>
        <w:t xml:space="preserve">How do mistaken threat perceptions and model disagreement alter the probability and cost of conflict escalation?</w:t>
      </w:r>
    </w:p>
    <w:p>
      <w:pPr>
        <w:pStyle w:val="BodyText"/>
      </w:pPr>
      <w:r>
        <w:rPr>
          <w:b/>
          <w:bCs/>
        </w:rPr>
        <w:t xml:space="preserve">Source-recorded significance (unchanged):</w:t>
      </w:r>
      <w:r>
        <w:t xml:space="preserve"> </w:t>
      </w:r>
      <w:r>
        <w:t xml:space="preserve">Conflict may arise from incompatible beliefs rather than fixed hostility. The question connects epistemic error to strategic dynamics.</w:t>
      </w:r>
    </w:p>
    <w:p>
      <w:pPr>
        <w:pStyle w:val="BodyText"/>
      </w:pPr>
      <w:r>
        <w:rPr>
          <w:b/>
          <w:bCs/>
        </w:rPr>
        <w:t xml:space="preserve">Existing outward registry links:</w:t>
      </w:r>
      <w:r>
        <w:t xml:space="preserve"> </w:t>
      </w:r>
      <w:r>
        <w:rPr>
          <w:rStyle w:val="VerbatimChar"/>
        </w:rPr>
        <w:t xml:space="preserve">DEPENDS_ON → IC-EPI-003</w:t>
      </w:r>
      <w:r>
        <w:t xml:space="preserve">;</w:t>
      </w:r>
      <w:r>
        <w:t xml:space="preserve"> </w:t>
      </w:r>
      <w:r>
        <w:rPr>
          <w:rStyle w:val="VerbatimChar"/>
        </w:rPr>
        <w:t xml:space="preserve">VARIABLE_SHARING → IC-DEC-005</w:t>
      </w:r>
    </w:p>
    <w:p>
      <w:pPr>
        <w:pStyle w:val="BodyText"/>
      </w:pPr>
      <w:r>
        <w:rPr>
          <w:b/>
          <w:bCs/>
        </w:rPr>
        <w:t xml:space="preserve">Candidate A (v0.7 lineage; v0.8 text where revised) —</w:t>
      </w:r>
      <w:r>
        <w:rPr>
          <w:b/>
          <w:bCs/>
        </w:rPr>
        <w:t xml:space="preserve"> </w:t>
      </w:r>
      <w:r>
        <w:rPr>
          <w:rStyle w:val="VerbatimChar"/>
          <w:b/>
          <w:bCs/>
        </w:rPr>
        <w:t xml:space="preserve">OINX-PEA-007-A</w:t>
      </w:r>
      <w:r>
        <w:rPr>
          <w:b/>
          <w:bCs/>
        </w:rPr>
        <w:t xml:space="preserve">:</w:t>
      </w:r>
      <w:r>
        <w:t xml:space="preserve"> </w:t>
      </w:r>
      <w:r>
        <w:t xml:space="preserve">Which evidence could distinguish an actual threat from model disagreement, miscommunication, or strategic signaling?</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OINX-PEA-007-B</w:t>
      </w:r>
      <w:r>
        <w:rPr>
          <w:b/>
          <w:bCs/>
        </w:rPr>
        <w:t xml:space="preserve">:</w:t>
      </w:r>
      <w:r>
        <w:t xml:space="preserve"> </w:t>
      </w:r>
      <w:r>
        <w:t xml:space="preserve">What are the costs of an unnecessary defensive response compared with delayed recognition of a genuine threat?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92"/>
    <w:bookmarkStart w:id="93" w:name="Xa939e1bcae50e272d92ad5b14e6368d23c40010"/>
    <w:p>
      <w:pPr>
        <w:pStyle w:val="Heading4"/>
      </w:pPr>
      <w:r>
        <w:t xml:space="preserve">IC-PEA-008 — candidate expansion (NOT an official examination)</w:t>
      </w:r>
    </w:p>
    <w:p>
      <w:pPr>
        <w:pStyle w:val="FirstParagraph"/>
      </w:pPr>
      <w:r>
        <w:rPr>
          <w:b/>
          <w:bCs/>
        </w:rPr>
        <w:t xml:space="preserve">Canonical IC03 parent question (unchanged):</w:t>
      </w:r>
      <w:r>
        <w:t xml:space="preserve"> </w:t>
      </w:r>
      <w:r>
        <w:t xml:space="preserve">When does preserving a negotiation channel have greater option value than closing it to reduce delay, leakage, or manipulation risk?</w:t>
      </w:r>
    </w:p>
    <w:p>
      <w:pPr>
        <w:pStyle w:val="BodyText"/>
      </w:pPr>
      <w:r>
        <w:rPr>
          <w:b/>
          <w:bCs/>
        </w:rPr>
        <w:t xml:space="preserve">Source-recorded significance (unchanged):</w:t>
      </w:r>
      <w:r>
        <w:t xml:space="preserve"> </w:t>
      </w:r>
      <w:r>
        <w:t xml:space="preserve">Open channels can support correction and bargaining while imposing exposure and strategic cost.</w:t>
      </w:r>
    </w:p>
    <w:p>
      <w:pPr>
        <w:pStyle w:val="BodyText"/>
      </w:pPr>
      <w:r>
        <w:rPr>
          <w:b/>
          <w:bCs/>
        </w:rPr>
        <w:t xml:space="preserve">Existing outward registry links:</w:t>
      </w:r>
      <w:r>
        <w:t xml:space="preserve"> </w:t>
      </w:r>
      <w:r>
        <w:rPr>
          <w:rStyle w:val="VerbatimChar"/>
        </w:rPr>
        <w:t xml:space="preserve">REFINES → IC-PEA-002</w:t>
      </w:r>
      <w:r>
        <w:t xml:space="preserve">;</w:t>
      </w:r>
      <w:r>
        <w:t xml:space="preserve"> </w:t>
      </w:r>
      <w:r>
        <w:rPr>
          <w:rStyle w:val="VerbatimChar"/>
        </w:rPr>
        <w:t xml:space="preserve">VARIABLE_SHARING → IC-AUT-004</w:t>
      </w:r>
    </w:p>
    <w:p>
      <w:pPr>
        <w:pStyle w:val="BodyText"/>
      </w:pPr>
      <w:r>
        <w:rPr>
          <w:b/>
          <w:bCs/>
        </w:rPr>
        <w:t xml:space="preserve">Candidate A (v0.7 lineage; v0.8 text where revised) —</w:t>
      </w:r>
      <w:r>
        <w:rPr>
          <w:b/>
          <w:bCs/>
        </w:rPr>
        <w:t xml:space="preserve"> </w:t>
      </w:r>
      <w:r>
        <w:rPr>
          <w:rStyle w:val="VerbatimChar"/>
          <w:b/>
          <w:bCs/>
        </w:rPr>
        <w:t xml:space="preserve">OINX-PEA-008-A</w:t>
      </w:r>
      <w:r>
        <w:rPr>
          <w:b/>
          <w:bCs/>
        </w:rPr>
        <w:t xml:space="preserve">:</w:t>
      </w:r>
      <w:r>
        <w:t xml:space="preserve"> </w:t>
      </w:r>
      <w:r>
        <w:t xml:space="preserve">What new evidence or peaceful option can remain available only if communication is preserved?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OINX-PEA-008-B</w:t>
      </w:r>
      <w:r>
        <w:rPr>
          <w:b/>
          <w:bCs/>
        </w:rPr>
        <w:t xml:space="preserve">:</w:t>
      </w:r>
      <w:r>
        <w:t xml:space="preserve"> </w:t>
      </w:r>
      <w:r>
        <w:t xml:space="preserve">When do credible risks from a negotiation channel outweigh that option value without implying a license to coerce?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93"/>
    <w:bookmarkEnd w:id="94"/>
    <w:bookmarkStart w:id="102" w:name="X18a5cf3e3655be000e381b8d1f5a9213e4187c2"/>
    <w:p>
      <w:pPr>
        <w:pStyle w:val="Heading3"/>
      </w:pPr>
      <w:r>
        <w:t xml:space="preserve">VER — Verification, Authority, and Claim Support (7 parent questions)</w:t>
      </w:r>
    </w:p>
    <w:bookmarkStart w:id="95" w:name="X2f90fd4ec152fc3265601710094bc6697d1f51e"/>
    <w:p>
      <w:pPr>
        <w:pStyle w:val="Heading4"/>
      </w:pPr>
      <w:r>
        <w:t xml:space="preserve">IC-VER-002 — candidate expansion (NOT an official examination)</w:t>
      </w:r>
    </w:p>
    <w:p>
      <w:pPr>
        <w:pStyle w:val="FirstParagraph"/>
      </w:pPr>
      <w:r>
        <w:rPr>
          <w:b/>
          <w:bCs/>
        </w:rPr>
        <w:t xml:space="preserve">Canonical IC03 parent question (unchanged):</w:t>
      </w:r>
      <w:r>
        <w:t xml:space="preserve"> </w:t>
      </w:r>
      <w:r>
        <w:t xml:space="preserve">When does an authenticated artifact fail to support the claim for which it is cited?</w:t>
      </w:r>
    </w:p>
    <w:p>
      <w:pPr>
        <w:pStyle w:val="BodyText"/>
      </w:pPr>
      <w:r>
        <w:rPr>
          <w:b/>
          <w:bCs/>
        </w:rPr>
        <w:t xml:space="preserve">Source-recorded significance (unchanged):</w:t>
      </w:r>
      <w:r>
        <w:t xml:space="preserve"> </w:t>
      </w:r>
      <w:r>
        <w:t xml:space="preserve">Artifact authenticity and claim-support match are separate conditions. Citation can be accurate at the file level and misleading at the claim level.</w:t>
      </w:r>
    </w:p>
    <w:p>
      <w:pPr>
        <w:pStyle w:val="BodyText"/>
      </w:pPr>
      <w:r>
        <w:rPr>
          <w:b/>
          <w:bCs/>
        </w:rPr>
        <w:t xml:space="preserve">Existing outward registry links:</w:t>
      </w:r>
      <w:r>
        <w:t xml:space="preserve"> </w:t>
      </w:r>
      <w:r>
        <w:rPr>
          <w:rStyle w:val="VerbatimChar"/>
        </w:rPr>
        <w:t xml:space="preserve">DEPENDS_ON → IC-VER-001</w:t>
      </w:r>
    </w:p>
    <w:p>
      <w:pPr>
        <w:pStyle w:val="BodyText"/>
      </w:pPr>
      <w:r>
        <w:rPr>
          <w:b/>
          <w:bCs/>
        </w:rPr>
        <w:t xml:space="preserve">Candidate A (v0.7 lineage; v0.8 text where revised) —</w:t>
      </w:r>
      <w:r>
        <w:rPr>
          <w:b/>
          <w:bCs/>
        </w:rPr>
        <w:t xml:space="preserve"> </w:t>
      </w:r>
      <w:r>
        <w:rPr>
          <w:rStyle w:val="VerbatimChar"/>
          <w:b/>
          <w:bCs/>
        </w:rPr>
        <w:t xml:space="preserve">OINX-VER-002-A</w:t>
      </w:r>
      <w:r>
        <w:rPr>
          <w:b/>
          <w:bCs/>
        </w:rPr>
        <w:t xml:space="preserve">:</w:t>
      </w:r>
      <w:r>
        <w:t xml:space="preserve"> </w:t>
      </w:r>
      <w:r>
        <w:t xml:space="preserve">Which proposition is actually supported by the authenticated bytes, and which conclusions are imported from elsewhere?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OINX-VER-002-B</w:t>
      </w:r>
      <w:r>
        <w:rPr>
          <w:b/>
          <w:bCs/>
        </w:rPr>
        <w:t xml:space="preserve">:</w:t>
      </w:r>
      <w:r>
        <w:t xml:space="preserve"> </w:t>
      </w:r>
      <w:r>
        <w:t xml:space="preserve">What independent evidence would be needed to justify the stronger claim for which the artifact was cited?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95"/>
    <w:bookmarkStart w:id="96" w:name="Xac1945621a619979e8a16516c11442df5194d32"/>
    <w:p>
      <w:pPr>
        <w:pStyle w:val="Heading4"/>
      </w:pPr>
      <w:r>
        <w:t xml:space="preserve">IC-VER-003 — candidate expansion (NOT an official examination)</w:t>
      </w:r>
    </w:p>
    <w:p>
      <w:pPr>
        <w:pStyle w:val="FirstParagraph"/>
      </w:pPr>
      <w:r>
        <w:rPr>
          <w:b/>
          <w:bCs/>
        </w:rPr>
        <w:t xml:space="preserve">Canonical IC03 parent question (unchanged):</w:t>
      </w:r>
      <w:r>
        <w:t xml:space="preserve"> </w:t>
      </w:r>
      <w:r>
        <w:t xml:space="preserve">When can artifact provenance be intact while the artifact's meaning, scope, or relevance is materially misinterpreted?</w:t>
      </w:r>
    </w:p>
    <w:p>
      <w:pPr>
        <w:pStyle w:val="BodyText"/>
      </w:pPr>
      <w:r>
        <w:rPr>
          <w:b/>
          <w:bCs/>
        </w:rPr>
        <w:t xml:space="preserve">Source-recorded significance (unchanged):</w:t>
      </w:r>
      <w:r>
        <w:t xml:space="preserve"> </w:t>
      </w:r>
      <w:r>
        <w:t xml:space="preserve">Verification of origin does not guarantee correct interpretation. The question separates provenance from semantic support.</w:t>
      </w:r>
    </w:p>
    <w:p>
      <w:pPr>
        <w:pStyle w:val="BodyText"/>
      </w:pPr>
      <w:r>
        <w:rPr>
          <w:b/>
          <w:bCs/>
        </w:rPr>
        <w:t xml:space="preserve">Existing outward registry links:</w:t>
      </w:r>
      <w:r>
        <w:t xml:space="preserve"> </w:t>
      </w:r>
      <w:r>
        <w:rPr>
          <w:rStyle w:val="VerbatimChar"/>
        </w:rPr>
        <w:t xml:space="preserve">REFINES → IC-VER-001</w:t>
      </w:r>
      <w:r>
        <w:t xml:space="preserve">;</w:t>
      </w:r>
      <w:r>
        <w:t xml:space="preserve"> </w:t>
      </w:r>
      <w:r>
        <w:rPr>
          <w:rStyle w:val="VerbatimChar"/>
        </w:rPr>
        <w:t xml:space="preserve">DEPENDS_ON → IC-REF-002</w:t>
      </w:r>
    </w:p>
    <w:p>
      <w:pPr>
        <w:pStyle w:val="BodyText"/>
      </w:pPr>
      <w:r>
        <w:rPr>
          <w:b/>
          <w:bCs/>
        </w:rPr>
        <w:t xml:space="preserve">Candidate A (v0.7 lineage; v0.8 text where revised) —</w:t>
      </w:r>
      <w:r>
        <w:rPr>
          <w:b/>
          <w:bCs/>
        </w:rPr>
        <w:t xml:space="preserve"> </w:t>
      </w:r>
      <w:r>
        <w:rPr>
          <w:rStyle w:val="VerbatimChar"/>
          <w:b/>
          <w:bCs/>
        </w:rPr>
        <w:t xml:space="preserve">OINX-VER-003-A</w:t>
      </w:r>
      <w:r>
        <w:rPr>
          <w:b/>
          <w:bCs/>
        </w:rPr>
        <w:t xml:space="preserve">:</w:t>
      </w:r>
      <w:r>
        <w:t xml:space="preserve"> </w:t>
      </w:r>
      <w:r>
        <w:t xml:space="preserve">What contextual information is necessary to understand the artifact's intended scope despite perfect provenance?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OINX-VER-003-B</w:t>
      </w:r>
      <w:r>
        <w:rPr>
          <w:b/>
          <w:bCs/>
        </w:rPr>
        <w:t xml:space="preserve">:</w:t>
      </w:r>
      <w:r>
        <w:t xml:space="preserve"> </w:t>
      </w:r>
      <w:r>
        <w:t xml:space="preserve">Could a correctly authenticated quotation be accurate yet produce a misleading inference through omission?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96"/>
    <w:bookmarkStart w:id="97" w:name="X1f4e437b75f78cf1a88b3cad6dda60b98330c28"/>
    <w:p>
      <w:pPr>
        <w:pStyle w:val="Heading4"/>
      </w:pPr>
      <w:r>
        <w:t xml:space="preserve">IC-VER-004 — candidate expansion (NOT an official examination)</w:t>
      </w:r>
    </w:p>
    <w:p>
      <w:pPr>
        <w:pStyle w:val="FirstParagraph"/>
      </w:pPr>
      <w:r>
        <w:rPr>
          <w:b/>
          <w:bCs/>
        </w:rPr>
        <w:t xml:space="preserve">Canonical IC03 parent question (unchanged):</w:t>
      </w:r>
      <w:r>
        <w:t xml:space="preserve"> </w:t>
      </w:r>
      <w:r>
        <w:t xml:space="preserve">What evidence can support a claim of authority, and which forms of authority remain outside artifact verification?</w:t>
      </w:r>
    </w:p>
    <w:p>
      <w:pPr>
        <w:pStyle w:val="BodyText"/>
      </w:pPr>
      <w:r>
        <w:rPr>
          <w:b/>
          <w:bCs/>
        </w:rPr>
        <w:t xml:space="preserve">Source-recorded significance (unchanged):</w:t>
      </w:r>
      <w:r>
        <w:t xml:space="preserve"> </w:t>
      </w:r>
      <w:r>
        <w:t xml:space="preserve">Authentication may establish who issued a record without establishing jurisdiction, consent, expertise, or binding force.</w:t>
      </w:r>
    </w:p>
    <w:p>
      <w:pPr>
        <w:pStyle w:val="BodyText"/>
      </w:pPr>
      <w:r>
        <w:rPr>
          <w:b/>
          <w:bCs/>
        </w:rPr>
        <w:t xml:space="preserve">Existing outward registry links:</w:t>
      </w:r>
      <w:r>
        <w:t xml:space="preserve"> </w:t>
      </w:r>
      <w:r>
        <w:rPr>
          <w:rStyle w:val="VerbatimChar"/>
        </w:rPr>
        <w:t xml:space="preserve">REFINES → IC-VER-001</w:t>
      </w:r>
      <w:r>
        <w:t xml:space="preserve">;</w:t>
      </w:r>
      <w:r>
        <w:t xml:space="preserve"> </w:t>
      </w:r>
      <w:r>
        <w:rPr>
          <w:rStyle w:val="VerbatimChar"/>
        </w:rPr>
        <w:t xml:space="preserve">SCOPE_OVERLAP → IC-AUT-002</w:t>
      </w:r>
    </w:p>
    <w:p>
      <w:pPr>
        <w:pStyle w:val="BodyText"/>
      </w:pPr>
      <w:r>
        <w:rPr>
          <w:b/>
          <w:bCs/>
        </w:rPr>
        <w:t xml:space="preserve">Candidate A (v0.7 lineage; v0.8 text where revised) —</w:t>
      </w:r>
      <w:r>
        <w:rPr>
          <w:b/>
          <w:bCs/>
        </w:rPr>
        <w:t xml:space="preserve"> </w:t>
      </w:r>
      <w:r>
        <w:rPr>
          <w:rStyle w:val="VerbatimChar"/>
          <w:b/>
          <w:bCs/>
        </w:rPr>
        <w:t xml:space="preserve">OINX-VER-004-A</w:t>
      </w:r>
      <w:r>
        <w:rPr>
          <w:b/>
          <w:bCs/>
        </w:rPr>
        <w:t xml:space="preserve">:</w:t>
      </w:r>
      <w:r>
        <w:t xml:space="preserve"> </w:t>
      </w:r>
      <w:r>
        <w:t xml:space="preserve">Does the record establish who issued an instruction, or whether that person had legitimate authority over the affected decision?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OINX-VER-004-B</w:t>
      </w:r>
      <w:r>
        <w:rPr>
          <w:b/>
          <w:bCs/>
        </w:rPr>
        <w:t xml:space="preserve">:</w:t>
      </w:r>
      <w:r>
        <w:t xml:space="preserve"> </w:t>
      </w:r>
      <w:r>
        <w:t xml:space="preserve">What evidence of consent or mandate is required beyond possession of a valid signature?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97"/>
    <w:bookmarkStart w:id="98" w:name="X2ebf4eebc4909d4acdf3982f27e7420e0346504"/>
    <w:p>
      <w:pPr>
        <w:pStyle w:val="Heading4"/>
      </w:pPr>
      <w:r>
        <w:t xml:space="preserve">IC-VER-005 — candidate expansion (NOT an official examination)</w:t>
      </w:r>
    </w:p>
    <w:p>
      <w:pPr>
        <w:pStyle w:val="FirstParagraph"/>
      </w:pPr>
      <w:r>
        <w:rPr>
          <w:b/>
          <w:bCs/>
        </w:rPr>
        <w:t xml:space="preserve">Canonical IC03 parent question (unchanged):</w:t>
      </w:r>
      <w:r>
        <w:t xml:space="preserve"> </w:t>
      </w:r>
      <w:r>
        <w:t xml:space="preserve">How should conflicting authenticated records be compared when provenance is established but their claims cannot all be true?</w:t>
      </w:r>
    </w:p>
    <w:p>
      <w:pPr>
        <w:pStyle w:val="BodyText"/>
      </w:pPr>
      <w:r>
        <w:rPr>
          <w:b/>
          <w:bCs/>
        </w:rPr>
        <w:t xml:space="preserve">Source-recorded significance (unchanged):</w:t>
      </w:r>
      <w:r>
        <w:t xml:space="preserve"> </w:t>
      </w:r>
      <w:r>
        <w:t xml:space="preserve">Authenticity does not reconcile conflict. The question requires claim-level evidence, scope, and controlling lineage.</w:t>
      </w:r>
    </w:p>
    <w:p>
      <w:pPr>
        <w:pStyle w:val="BodyText"/>
      </w:pPr>
      <w:r>
        <w:rPr>
          <w:b/>
          <w:bCs/>
        </w:rPr>
        <w:t xml:space="preserve">Existing outward registry links:</w:t>
      </w:r>
      <w:r>
        <w:t xml:space="preserve"> </w:t>
      </w:r>
      <w:r>
        <w:rPr>
          <w:rStyle w:val="VerbatimChar"/>
        </w:rPr>
        <w:t xml:space="preserve">DEPENDS_ON → IC-VER-002</w:t>
      </w:r>
      <w:r>
        <w:t xml:space="preserve">;</w:t>
      </w:r>
      <w:r>
        <w:t xml:space="preserve"> </w:t>
      </w:r>
      <w:r>
        <w:rPr>
          <w:rStyle w:val="VerbatimChar"/>
        </w:rPr>
        <w:t xml:space="preserve">SCOPE_OVERLAP → IC-UNR-002</w:t>
      </w:r>
    </w:p>
    <w:p>
      <w:pPr>
        <w:pStyle w:val="BodyText"/>
      </w:pPr>
      <w:r>
        <w:rPr>
          <w:b/>
          <w:bCs/>
        </w:rPr>
        <w:t xml:space="preserve">Candidate A (v0.7 lineage; v0.8 text where revised) —</w:t>
      </w:r>
      <w:r>
        <w:rPr>
          <w:b/>
          <w:bCs/>
        </w:rPr>
        <w:t xml:space="preserve"> </w:t>
      </w:r>
      <w:r>
        <w:rPr>
          <w:rStyle w:val="VerbatimChar"/>
          <w:b/>
          <w:bCs/>
        </w:rPr>
        <w:t xml:space="preserve">OINX-VER-005-A</w:t>
      </w:r>
      <w:r>
        <w:rPr>
          <w:b/>
          <w:bCs/>
        </w:rPr>
        <w:t xml:space="preserve">:</w:t>
      </w:r>
      <w:r>
        <w:t xml:space="preserve"> </w:t>
      </w:r>
      <w:r>
        <w:t xml:space="preserve">Which differences in time, definitions, and scope could reconcile records that appear contradictory?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OINX-VER-005-B</w:t>
      </w:r>
      <w:r>
        <w:rPr>
          <w:b/>
          <w:bCs/>
        </w:rPr>
        <w:t xml:space="preserve">:</w:t>
      </w:r>
      <w:r>
        <w:t xml:space="preserve"> </w:t>
      </w:r>
      <w:r>
        <w:t xml:space="preserve">If the contradiction is real, how should uncertainty remain visible without selecting a favored authority by reputation?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98"/>
    <w:bookmarkStart w:id="99" w:name="X564fcbce6d87630a0fb032776979797e4d0431f"/>
    <w:p>
      <w:pPr>
        <w:pStyle w:val="Heading4"/>
      </w:pPr>
      <w:r>
        <w:t xml:space="preserve">IC-VER-006 — candidate expansion (NOT an official examination)</w:t>
      </w:r>
    </w:p>
    <w:p>
      <w:pPr>
        <w:pStyle w:val="FirstParagraph"/>
      </w:pPr>
      <w:r>
        <w:rPr>
          <w:b/>
          <w:bCs/>
        </w:rPr>
        <w:t xml:space="preserve">Canonical IC03 parent question (unchanged):</w:t>
      </w:r>
      <w:r>
        <w:t xml:space="preserve"> </w:t>
      </w:r>
      <w:r>
        <w:t xml:space="preserve">When does reproducibility fail despite complete artifacts because the required environment, dependencies, or hidden state cannot be reconstructed?</w:t>
      </w:r>
    </w:p>
    <w:p>
      <w:pPr>
        <w:pStyle w:val="BodyText"/>
      </w:pPr>
      <w:r>
        <w:rPr>
          <w:b/>
          <w:bCs/>
        </w:rPr>
        <w:t xml:space="preserve">Source-recorded significance (unchanged):</w:t>
      </w:r>
      <w:r>
        <w:t xml:space="preserve"> </w:t>
      </w:r>
      <w:r>
        <w:t xml:space="preserve">A complete file set may still be insufficient to reproduce a result. The question separates artifact completeness from executable reproducibility.</w:t>
      </w:r>
    </w:p>
    <w:p>
      <w:pPr>
        <w:pStyle w:val="BodyText"/>
      </w:pPr>
      <w:r>
        <w:rPr>
          <w:b/>
          <w:bCs/>
        </w:rPr>
        <w:t xml:space="preserve">Existing outward registry links:</w:t>
      </w:r>
      <w:r>
        <w:t xml:space="preserve"> </w:t>
      </w:r>
      <w:r>
        <w:rPr>
          <w:rStyle w:val="VerbatimChar"/>
        </w:rPr>
        <w:t xml:space="preserve">REFINES → IC-VER-002</w:t>
      </w:r>
      <w:r>
        <w:t xml:space="preserve">;</w:t>
      </w:r>
      <w:r>
        <w:t xml:space="preserve"> </w:t>
      </w:r>
      <w:r>
        <w:rPr>
          <w:rStyle w:val="VerbatimChar"/>
        </w:rPr>
        <w:t xml:space="preserve">DEPENDS_ON → IC-REF-001</w:t>
      </w:r>
    </w:p>
    <w:p>
      <w:pPr>
        <w:pStyle w:val="BodyText"/>
      </w:pPr>
      <w:r>
        <w:rPr>
          <w:b/>
          <w:bCs/>
        </w:rPr>
        <w:t xml:space="preserve">Candidate A (v0.7 lineage; v0.8 text where revised) —</w:t>
      </w:r>
      <w:r>
        <w:rPr>
          <w:b/>
          <w:bCs/>
        </w:rPr>
        <w:t xml:space="preserve"> </w:t>
      </w:r>
      <w:r>
        <w:rPr>
          <w:rStyle w:val="VerbatimChar"/>
          <w:b/>
          <w:bCs/>
        </w:rPr>
        <w:t xml:space="preserve">OINX-VER-006-A</w:t>
      </w:r>
      <w:r>
        <w:rPr>
          <w:b/>
          <w:bCs/>
        </w:rPr>
        <w:t xml:space="preserve">:</w:t>
      </w:r>
      <w:r>
        <w:t xml:space="preserve"> </w:t>
      </w:r>
      <w:r>
        <w:t xml:space="preserve">Which environment variable, dependency, or hidden state must be reconstructed before reproduction is meaningful?</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OINX-VER-006-B</w:t>
      </w:r>
      <w:r>
        <w:rPr>
          <w:b/>
          <w:bCs/>
        </w:rPr>
        <w:t xml:space="preserve">:</w:t>
      </w:r>
      <w:r>
        <w:t xml:space="preserve"> </w:t>
      </w:r>
      <w:r>
        <w:t xml:space="preserve">When would a successful re-run support only a narrow operational claim rather than the original broad conclusion?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99"/>
    <w:bookmarkStart w:id="100" w:name="X781ef3fa61d2466f4cc584620c1e0e0b0c90f5b"/>
    <w:p>
      <w:pPr>
        <w:pStyle w:val="Heading4"/>
      </w:pPr>
      <w:r>
        <w:t xml:space="preserve">IC-VER-007 — candidate expansion (NOT an official examination)</w:t>
      </w:r>
    </w:p>
    <w:p>
      <w:pPr>
        <w:pStyle w:val="FirstParagraph"/>
      </w:pPr>
      <w:r>
        <w:rPr>
          <w:b/>
          <w:bCs/>
        </w:rPr>
        <w:t xml:space="preserve">Canonical IC03 parent question (unchanged):</w:t>
      </w:r>
      <w:r>
        <w:t xml:space="preserve"> </w:t>
      </w:r>
      <w:r>
        <w:t xml:space="preserve">What can a hash-linked version chain establish about lineage, and what corrections or semantic changes still require human-readable explanation?</w:t>
      </w:r>
    </w:p>
    <w:p>
      <w:pPr>
        <w:pStyle w:val="BodyText"/>
      </w:pPr>
      <w:r>
        <w:rPr>
          <w:b/>
          <w:bCs/>
        </w:rPr>
        <w:t xml:space="preserve">Source-recorded significance (unchanged):</w:t>
      </w:r>
      <w:r>
        <w:t xml:space="preserve"> </w:t>
      </w:r>
      <w:r>
        <w:t xml:space="preserve">Hashes show byte identity and sequence only when the chain is correctly constructed. They do not explain why a successor changed.</w:t>
      </w:r>
    </w:p>
    <w:p>
      <w:pPr>
        <w:pStyle w:val="BodyText"/>
      </w:pPr>
      <w:r>
        <w:rPr>
          <w:b/>
          <w:bCs/>
        </w:rPr>
        <w:t xml:space="preserve">Existing outward registry links:</w:t>
      </w:r>
      <w:r>
        <w:t xml:space="preserve"> </w:t>
      </w:r>
      <w:r>
        <w:rPr>
          <w:rStyle w:val="VerbatimChar"/>
        </w:rPr>
        <w:t xml:space="preserve">REFINES → IC-VER-001</w:t>
      </w:r>
      <w:r>
        <w:t xml:space="preserve">;</w:t>
      </w:r>
      <w:r>
        <w:t xml:space="preserve"> </w:t>
      </w:r>
      <w:r>
        <w:rPr>
          <w:rStyle w:val="VerbatimChar"/>
        </w:rPr>
        <w:t xml:space="preserve">VARIABLE_SHARING → IC-REF-005</w:t>
      </w:r>
    </w:p>
    <w:p>
      <w:pPr>
        <w:pStyle w:val="BodyText"/>
      </w:pPr>
      <w:r>
        <w:rPr>
          <w:b/>
          <w:bCs/>
        </w:rPr>
        <w:t xml:space="preserve">Candidate A (v0.7 lineage; v0.8 text where revised) —</w:t>
      </w:r>
      <w:r>
        <w:rPr>
          <w:b/>
          <w:bCs/>
        </w:rPr>
        <w:t xml:space="preserve"> </w:t>
      </w:r>
      <w:r>
        <w:rPr>
          <w:rStyle w:val="VerbatimChar"/>
          <w:b/>
          <w:bCs/>
        </w:rPr>
        <w:t xml:space="preserve">OINX-VER-007-A</w:t>
      </w:r>
      <w:r>
        <w:rPr>
          <w:b/>
          <w:bCs/>
        </w:rPr>
        <w:t xml:space="preserve">:</w:t>
      </w:r>
      <w:r>
        <w:t xml:space="preserve"> </w:t>
      </w:r>
      <w:r>
        <w:t xml:space="preserve">What semantic changes can occur between identical or validly linked versions without violating their hashes?</w:t>
      </w:r>
    </w:p>
    <w:p>
      <w:pPr>
        <w:pStyle w:val="BodyText"/>
      </w:pPr>
      <w:r>
        <w:rPr>
          <w:b/>
          <w:bCs/>
        </w:rPr>
        <w:t xml:space="preserve">v0.8 review flag:</w:t>
      </w:r>
      <w:r>
        <w:t xml:space="preserve"> </w:t>
      </w:r>
      <w:r>
        <w:t xml:space="preserve">REVIEW NEEDED / identity vs interpretive context</w:t>
      </w:r>
    </w:p>
    <w:p>
      <w:pPr>
        <w:pStyle w:val="BodyText"/>
      </w:pPr>
      <w:r>
        <w:rPr>
          <w:b/>
          <w:bCs/>
        </w:rPr>
        <w:t xml:space="preserve">Candidate B (v0.7 lineage; v0.8 text where revised) —</w:t>
      </w:r>
      <w:r>
        <w:rPr>
          <w:b/>
          <w:bCs/>
        </w:rPr>
        <w:t xml:space="preserve"> </w:t>
      </w:r>
      <w:r>
        <w:rPr>
          <w:rStyle w:val="VerbatimChar"/>
          <w:b/>
          <w:bCs/>
        </w:rPr>
        <w:t xml:space="preserve">OINX-VER-007-B</w:t>
      </w:r>
      <w:r>
        <w:rPr>
          <w:b/>
          <w:bCs/>
        </w:rPr>
        <w:t xml:space="preserve">:</w:t>
      </w:r>
      <w:r>
        <w:t xml:space="preserve"> </w:t>
      </w:r>
      <w:r>
        <w:t xml:space="preserve">How can successor readers distinguish a corrected interpretation from an unauthorized rewrite of historical evidence?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00"/>
    <w:bookmarkStart w:id="101" w:name="Xd4c18939c0a87a7789f1534001d836a13920ad8"/>
    <w:p>
      <w:pPr>
        <w:pStyle w:val="Heading4"/>
      </w:pPr>
      <w:r>
        <w:t xml:space="preserve">IC-VER-008 — candidate expansion (NOT an official examination)</w:t>
      </w:r>
    </w:p>
    <w:p>
      <w:pPr>
        <w:pStyle w:val="FirstParagraph"/>
      </w:pPr>
      <w:r>
        <w:rPr>
          <w:b/>
          <w:bCs/>
        </w:rPr>
        <w:t xml:space="preserve">Canonical IC03 parent question (unchanged):</w:t>
      </w:r>
      <w:r>
        <w:t xml:space="preserve"> </w:t>
      </w:r>
      <w:r>
        <w:t xml:space="preserve">When does citation frequency become a misleading proxy for evidentiary support or truth?</w:t>
      </w:r>
    </w:p>
    <w:p>
      <w:pPr>
        <w:pStyle w:val="BodyText"/>
      </w:pPr>
      <w:r>
        <w:rPr>
          <w:b/>
          <w:bCs/>
        </w:rPr>
        <w:t xml:space="preserve">Source-recorded significance (unchanged):</w:t>
      </w:r>
      <w:r>
        <w:t xml:space="preserve"> </w:t>
      </w:r>
      <w:r>
        <w:t xml:space="preserve">Repeated reference can reflect visibility, convenience, or copying rather than independent claim support.</w:t>
      </w:r>
    </w:p>
    <w:p>
      <w:pPr>
        <w:pStyle w:val="BodyText"/>
      </w:pPr>
      <w:r>
        <w:rPr>
          <w:b/>
          <w:bCs/>
        </w:rPr>
        <w:t xml:space="preserve">Existing outward registry links:</w:t>
      </w:r>
      <w:r>
        <w:t xml:space="preserve"> </w:t>
      </w:r>
      <w:r>
        <w:rPr>
          <w:rStyle w:val="VerbatimChar"/>
        </w:rPr>
        <w:t xml:space="preserve">ROBUSTNESS_CHECK → IC-VER-002</w:t>
      </w:r>
      <w:r>
        <w:t xml:space="preserve">;</w:t>
      </w:r>
      <w:r>
        <w:t xml:space="preserve"> </w:t>
      </w:r>
      <w:r>
        <w:rPr>
          <w:rStyle w:val="VerbatimChar"/>
        </w:rPr>
        <w:t xml:space="preserve">DEPENDS_ON → IC-REF-004</w:t>
      </w:r>
    </w:p>
    <w:p>
      <w:pPr>
        <w:pStyle w:val="BodyText"/>
      </w:pPr>
      <w:r>
        <w:rPr>
          <w:b/>
          <w:bCs/>
        </w:rPr>
        <w:t xml:space="preserve">Candidate A (v0.7 lineage; v0.8 text where revised) —</w:t>
      </w:r>
      <w:r>
        <w:rPr>
          <w:b/>
          <w:bCs/>
        </w:rPr>
        <w:t xml:space="preserve"> </w:t>
      </w:r>
      <w:r>
        <w:rPr>
          <w:rStyle w:val="VerbatimChar"/>
          <w:b/>
          <w:bCs/>
        </w:rPr>
        <w:t xml:space="preserve">OINX-VER-008-A</w:t>
      </w:r>
      <w:r>
        <w:rPr>
          <w:b/>
          <w:bCs/>
        </w:rPr>
        <w:t xml:space="preserve">:</w:t>
      </w:r>
      <w:r>
        <w:t xml:space="preserve"> </w:t>
      </w:r>
      <w:r>
        <w:t xml:space="preserve">Does repeated citation trace to diverse supporting evidence or to one frequently copied unsupported claim?</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OINX-VER-008-B</w:t>
      </w:r>
      <w:r>
        <w:rPr>
          <w:b/>
          <w:bCs/>
        </w:rPr>
        <w:t xml:space="preserve">:</w:t>
      </w:r>
      <w:r>
        <w:t xml:space="preserve"> </w:t>
      </w:r>
      <w:r>
        <w:t xml:space="preserve">Which contrary observations would remain relevant even if the proposition is cited by many sources?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01"/>
    <w:bookmarkEnd w:id="102"/>
    <w:bookmarkStart w:id="110" w:name="Xf5a394ba0aedfb40afc7ecdcb0f085cd0426280"/>
    <w:p>
      <w:pPr>
        <w:pStyle w:val="Heading3"/>
      </w:pPr>
      <w:r>
        <w:t xml:space="preserve">REF — Archives, Public Reference, Transmission, and Reception (7 parent questions)</w:t>
      </w:r>
    </w:p>
    <w:bookmarkStart w:id="103" w:name="X8450f6466e8c57a69547937e43709a9e0f95b2e"/>
    <w:p>
      <w:pPr>
        <w:pStyle w:val="Heading4"/>
      </w:pPr>
      <w:r>
        <w:t xml:space="preserve">IC-REF-002 — candidate expansion (NOT an official examination)</w:t>
      </w:r>
    </w:p>
    <w:p>
      <w:pPr>
        <w:pStyle w:val="FirstParagraph"/>
      </w:pPr>
      <w:r>
        <w:rPr>
          <w:b/>
          <w:bCs/>
        </w:rPr>
        <w:t xml:space="preserve">Canonical IC03 parent question (unchanged):</w:t>
      </w:r>
      <w:r>
        <w:t xml:space="preserve"> </w:t>
      </w:r>
      <w:r>
        <w:t xml:space="preserve">When does preservation maintain transmission while reception remains absent, incomplete, or materially misinterpreted?</w:t>
      </w:r>
    </w:p>
    <w:p>
      <w:pPr>
        <w:pStyle w:val="BodyText"/>
      </w:pPr>
      <w:r>
        <w:rPr>
          <w:b/>
          <w:bCs/>
        </w:rPr>
        <w:t xml:space="preserve">Source-recorded significance (unchanged):</w:t>
      </w:r>
      <w:r>
        <w:t xml:space="preserve"> </w:t>
      </w:r>
      <w:r>
        <w:t xml:space="preserve">A preserved signal can remain discoverable and verifiable without being encountered, understood, or interpreted as intended.</w:t>
      </w:r>
    </w:p>
    <w:p>
      <w:pPr>
        <w:pStyle w:val="BodyText"/>
      </w:pPr>
      <w:r>
        <w:rPr>
          <w:b/>
          <w:bCs/>
        </w:rPr>
        <w:t xml:space="preserve">Existing outward registry links:</w:t>
      </w:r>
      <w:r>
        <w:t xml:space="preserve"> </w:t>
      </w:r>
      <w:r>
        <w:rPr>
          <w:rStyle w:val="VerbatimChar"/>
        </w:rPr>
        <w:t xml:space="preserve">DEPENDS_ON → IC-REF-001</w:t>
      </w:r>
    </w:p>
    <w:p>
      <w:pPr>
        <w:pStyle w:val="BodyText"/>
      </w:pPr>
      <w:r>
        <w:rPr>
          <w:b/>
          <w:bCs/>
        </w:rPr>
        <w:t xml:space="preserve">Candidate A (v0.7 lineage; v0.8 text where revised) —</w:t>
      </w:r>
      <w:r>
        <w:rPr>
          <w:b/>
          <w:bCs/>
        </w:rPr>
        <w:t xml:space="preserve"> </w:t>
      </w:r>
      <w:r>
        <w:rPr>
          <w:rStyle w:val="VerbatimChar"/>
          <w:b/>
          <w:bCs/>
        </w:rPr>
        <w:t xml:space="preserve">OINX-REF-002-A</w:t>
      </w:r>
      <w:r>
        <w:rPr>
          <w:b/>
          <w:bCs/>
        </w:rPr>
        <w:t xml:space="preserve">:</w:t>
      </w:r>
      <w:r>
        <w:t xml:space="preserve"> </w:t>
      </w:r>
      <w:r>
        <w:t xml:space="preserve">What observable trace would show that a preserved work was actually retrieved and comprehended by a reader?</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OINX-REF-002-B</w:t>
      </w:r>
      <w:r>
        <w:rPr>
          <w:b/>
          <w:bCs/>
        </w:rPr>
        <w:t xml:space="preserve">:</w:t>
      </w:r>
      <w:r>
        <w:t xml:space="preserve"> </w:t>
      </w:r>
      <w:r>
        <w:t xml:space="preserve">Could an archive be flawlessly mirrored yet exert no causal influence on consequential decisions?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03"/>
    <w:bookmarkStart w:id="104" w:name="X3cb393b609b8f8335eca300a64f25a48754a092"/>
    <w:p>
      <w:pPr>
        <w:pStyle w:val="Heading4"/>
      </w:pPr>
      <w:r>
        <w:t xml:space="preserve">IC-REF-003 — candidate expansion (NOT an official examination)</w:t>
      </w:r>
    </w:p>
    <w:p>
      <w:pPr>
        <w:pStyle w:val="FirstParagraph"/>
      </w:pPr>
      <w:r>
        <w:rPr>
          <w:b/>
          <w:bCs/>
        </w:rPr>
        <w:t xml:space="preserve">Canonical IC03 parent question (unchanged):</w:t>
      </w:r>
      <w:r>
        <w:t xml:space="preserve"> </w:t>
      </w:r>
      <w:r>
        <w:t xml:space="preserve">What observable outcomes could distinguish the atlas materially informing reasoning from remaining causally inert despite preservation and availability?</w:t>
      </w:r>
    </w:p>
    <w:p>
      <w:pPr>
        <w:pStyle w:val="BodyText"/>
      </w:pPr>
      <w:r>
        <w:rPr>
          <w:b/>
          <w:bCs/>
        </w:rPr>
        <w:t xml:space="preserve">Source-recorded significance (unchanged):</w:t>
      </w:r>
      <w:r>
        <w:t xml:space="preserve"> </w:t>
      </w:r>
      <w:r>
        <w:t xml:space="preserve">A preserved archive may never affect any decision. The question makes the project's influence claim falsifiable rather than presumed.</w:t>
      </w:r>
    </w:p>
    <w:p>
      <w:pPr>
        <w:pStyle w:val="BodyText"/>
      </w:pPr>
      <w:r>
        <w:rPr>
          <w:b/>
          <w:bCs/>
        </w:rPr>
        <w:t xml:space="preserve">Existing outward registry links:</w:t>
      </w:r>
      <w:r>
        <w:t xml:space="preserve"> </w:t>
      </w:r>
      <w:r>
        <w:rPr>
          <w:rStyle w:val="VerbatimChar"/>
        </w:rPr>
        <w:t xml:space="preserve">REFINES → IC-REF-002</w:t>
      </w:r>
      <w:r>
        <w:t xml:space="preserve">;</w:t>
      </w:r>
      <w:r>
        <w:t xml:space="preserve"> </w:t>
      </w:r>
      <w:r>
        <w:rPr>
          <w:rStyle w:val="VerbatimChar"/>
        </w:rPr>
        <w:t xml:space="preserve">EVIDENCE_DEPENDENCY → IC-VER-002</w:t>
      </w:r>
    </w:p>
    <w:p>
      <w:pPr>
        <w:pStyle w:val="BodyText"/>
      </w:pPr>
      <w:r>
        <w:rPr>
          <w:b/>
          <w:bCs/>
        </w:rPr>
        <w:t xml:space="preserve">Candidate A (v0.7 lineage; v0.8 text where revised) —</w:t>
      </w:r>
      <w:r>
        <w:rPr>
          <w:b/>
          <w:bCs/>
        </w:rPr>
        <w:t xml:space="preserve"> </w:t>
      </w:r>
      <w:r>
        <w:rPr>
          <w:rStyle w:val="VerbatimChar"/>
          <w:b/>
          <w:bCs/>
        </w:rPr>
        <w:t xml:space="preserve">OINX-REF-003-A</w:t>
      </w:r>
      <w:r>
        <w:rPr>
          <w:b/>
          <w:bCs/>
        </w:rPr>
        <w:t xml:space="preserve">:</w:t>
      </w:r>
      <w:r>
        <w:t xml:space="preserve"> </w:t>
      </w:r>
      <w:r>
        <w:t xml:space="preserve">What comparison would distinguish decisions informed by the atlas from decisions that would have occurred without exposure?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OINX-REF-003-B</w:t>
      </w:r>
      <w:r>
        <w:rPr>
          <w:b/>
          <w:bCs/>
        </w:rPr>
        <w:t xml:space="preserve">:</w:t>
      </w:r>
      <w:r>
        <w:t xml:space="preserve"> </w:t>
      </w:r>
      <w:r>
        <w:t xml:space="preserve">How might a fluent account of using the atlas misrepresent the reader's actual decision process?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04"/>
    <w:bookmarkStart w:id="105" w:name="X6c157327cfd813e69371ba28d36065c257e394d"/>
    <w:p>
      <w:pPr>
        <w:pStyle w:val="Heading4"/>
      </w:pPr>
      <w:r>
        <w:t xml:space="preserve">IC-REF-004 — candidate expansion (NOT an official examination)</w:t>
      </w:r>
    </w:p>
    <w:p>
      <w:pPr>
        <w:pStyle w:val="FirstParagraph"/>
      </w:pPr>
      <w:r>
        <w:rPr>
          <w:b/>
          <w:bCs/>
        </w:rPr>
        <w:t xml:space="preserve">Canonical IC03 parent question (unchanged):</w:t>
      </w:r>
      <w:r>
        <w:t xml:space="preserve"> </w:t>
      </w:r>
      <w:r>
        <w:t xml:space="preserve">How does discoverability affect the expected coordination value of a durable public reference?</w:t>
      </w:r>
    </w:p>
    <w:p>
      <w:pPr>
        <w:pStyle w:val="BodyText"/>
      </w:pPr>
      <w:r>
        <w:rPr>
          <w:b/>
          <w:bCs/>
        </w:rPr>
        <w:t xml:space="preserve">Source-recorded significance (unchanged):</w:t>
      </w:r>
      <w:r>
        <w:t xml:space="preserve"> </w:t>
      </w:r>
      <w:r>
        <w:t xml:space="preserve">Preservation without indexing or retrieval may have little practical value. The question separates byte survival from discoverability.</w:t>
      </w:r>
    </w:p>
    <w:p>
      <w:pPr>
        <w:pStyle w:val="BodyText"/>
      </w:pPr>
      <w:r>
        <w:rPr>
          <w:b/>
          <w:bCs/>
        </w:rPr>
        <w:t xml:space="preserve">Existing outward registry links:</w:t>
      </w:r>
      <w:r>
        <w:t xml:space="preserve"> </w:t>
      </w:r>
      <w:r>
        <w:rPr>
          <w:rStyle w:val="VerbatimChar"/>
        </w:rPr>
        <w:t xml:space="preserve">REFINES → IC-REF-001</w:t>
      </w:r>
      <w:r>
        <w:t xml:space="preserve">;</w:t>
      </w:r>
      <w:r>
        <w:t xml:space="preserve"> </w:t>
      </w:r>
      <w:r>
        <w:rPr>
          <w:rStyle w:val="VerbatimChar"/>
        </w:rPr>
        <w:t xml:space="preserve">DEPENDS_ON → IC-REF-002</w:t>
      </w:r>
    </w:p>
    <w:p>
      <w:pPr>
        <w:pStyle w:val="BodyText"/>
      </w:pPr>
      <w:r>
        <w:rPr>
          <w:b/>
          <w:bCs/>
        </w:rPr>
        <w:t xml:space="preserve">Candidate A (v0.7 lineage; v0.8 text where revised) —</w:t>
      </w:r>
      <w:r>
        <w:rPr>
          <w:b/>
          <w:bCs/>
        </w:rPr>
        <w:t xml:space="preserve"> </w:t>
      </w:r>
      <w:r>
        <w:rPr>
          <w:rStyle w:val="VerbatimChar"/>
          <w:b/>
          <w:bCs/>
        </w:rPr>
        <w:t xml:space="preserve">OINX-REF-004-A</w:t>
      </w:r>
      <w:r>
        <w:rPr>
          <w:b/>
          <w:bCs/>
        </w:rPr>
        <w:t xml:space="preserve">:</w:t>
      </w:r>
      <w:r>
        <w:t xml:space="preserve"> </w:t>
      </w:r>
      <w:r>
        <w:t xml:space="preserve">Which readers can find the reference, and does discovery improve their ability to challenge its claims?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OINX-REF-004-B</w:t>
      </w:r>
      <w:r>
        <w:rPr>
          <w:b/>
          <w:bCs/>
        </w:rPr>
        <w:t xml:space="preserve">:</w:t>
      </w:r>
      <w:r>
        <w:t xml:space="preserve"> </w:t>
      </w:r>
      <w:r>
        <w:t xml:space="preserve">When does more indexing add duplication and confusion rather than meaningful reception?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05"/>
    <w:bookmarkStart w:id="106" w:name="Xe7dcd897031d8de0afe005fa4d3794db8057e13"/>
    <w:p>
      <w:pPr>
        <w:pStyle w:val="Heading4"/>
      </w:pPr>
      <w:r>
        <w:t xml:space="preserve">IC-REF-005 — candidate expansion (NOT an official examination)</w:t>
      </w:r>
    </w:p>
    <w:p>
      <w:pPr>
        <w:pStyle w:val="FirstParagraph"/>
      </w:pPr>
      <w:r>
        <w:rPr>
          <w:b/>
          <w:bCs/>
        </w:rPr>
        <w:t xml:space="preserve">Canonical IC03 parent question (unchanged):</w:t>
      </w:r>
      <w:r>
        <w:t xml:space="preserve"> </w:t>
      </w:r>
      <w:r>
        <w:t xml:space="preserve">When do multiple mirrors improve durability, and when do they fragment canonical identity or create version confusion?</w:t>
      </w:r>
    </w:p>
    <w:p>
      <w:pPr>
        <w:pStyle w:val="BodyText"/>
      </w:pPr>
      <w:r>
        <w:rPr>
          <w:b/>
          <w:bCs/>
        </w:rPr>
        <w:t xml:space="preserve">Source-recorded significance (unchanged):</w:t>
      </w:r>
      <w:r>
        <w:t xml:space="preserve"> </w:t>
      </w:r>
      <w:r>
        <w:t xml:space="preserve">Replication can reduce loss while increasing ambiguity about which artifact controls.</w:t>
      </w:r>
    </w:p>
    <w:p>
      <w:pPr>
        <w:pStyle w:val="BodyText"/>
      </w:pPr>
      <w:r>
        <w:rPr>
          <w:b/>
          <w:bCs/>
        </w:rPr>
        <w:t xml:space="preserve">Existing outward registry links:</w:t>
      </w:r>
      <w:r>
        <w:t xml:space="preserve"> </w:t>
      </w:r>
      <w:r>
        <w:rPr>
          <w:rStyle w:val="VerbatimChar"/>
        </w:rPr>
        <w:t xml:space="preserve">REFINES → IC-REF-001</w:t>
      </w:r>
      <w:r>
        <w:t xml:space="preserve">;</w:t>
      </w:r>
      <w:r>
        <w:t xml:space="preserve"> </w:t>
      </w:r>
      <w:r>
        <w:rPr>
          <w:rStyle w:val="VerbatimChar"/>
        </w:rPr>
        <w:t xml:space="preserve">DEPENDS_ON → IC-VER-007</w:t>
      </w:r>
    </w:p>
    <w:p>
      <w:pPr>
        <w:pStyle w:val="BodyText"/>
      </w:pPr>
      <w:r>
        <w:rPr>
          <w:b/>
          <w:bCs/>
        </w:rPr>
        <w:t xml:space="preserve">Candidate A (v0.7 lineage; v0.8 text where revised) —</w:t>
      </w:r>
      <w:r>
        <w:rPr>
          <w:b/>
          <w:bCs/>
        </w:rPr>
        <w:t xml:space="preserve"> </w:t>
      </w:r>
      <w:r>
        <w:rPr>
          <w:rStyle w:val="VerbatimChar"/>
          <w:b/>
          <w:bCs/>
        </w:rPr>
        <w:t xml:space="preserve">OINX-REF-005-A</w:t>
      </w:r>
      <w:r>
        <w:rPr>
          <w:b/>
          <w:bCs/>
        </w:rPr>
        <w:t xml:space="preserve">:</w:t>
      </w:r>
      <w:r>
        <w:t xml:space="preserve"> </w:t>
      </w:r>
      <w:r>
        <w:t xml:space="preserve">How can mirrors preserve canonical version identity when one copy omits a correction or context record?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OINX-REF-005-B</w:t>
      </w:r>
      <w:r>
        <w:rPr>
          <w:b/>
          <w:bCs/>
        </w:rPr>
        <w:t xml:space="preserve">:</w:t>
      </w:r>
      <w:r>
        <w:t xml:space="preserve"> </w:t>
      </w:r>
      <w:r>
        <w:t xml:space="preserve">Under what failures does additional replication increase ambiguity rather than durability?</w:t>
      </w:r>
    </w:p>
    <w:p>
      <w:pPr>
        <w:pStyle w:val="BodyText"/>
      </w:pPr>
      <w:r>
        <w:rPr>
          <w:b/>
          <w:bCs/>
        </w:rPr>
        <w:t xml:space="preserve">v0.8 review flag:</w:t>
      </w:r>
      <w:r>
        <w:t xml:space="preserve"> </w:t>
      </w:r>
      <w:r>
        <w:t xml:space="preserve">POTENTIAL RESTATEMENT / no additional evidence yet</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06"/>
    <w:bookmarkStart w:id="107" w:name="X89ca0c2602d5ceb7e19428bf4bff4cbb12a76db"/>
    <w:p>
      <w:pPr>
        <w:pStyle w:val="Heading4"/>
      </w:pPr>
      <w:r>
        <w:t xml:space="preserve">IC-REF-006 — candidate expansion (NOT an official examination)</w:t>
      </w:r>
    </w:p>
    <w:p>
      <w:pPr>
        <w:pStyle w:val="FirstParagraph"/>
      </w:pPr>
      <w:r>
        <w:rPr>
          <w:b/>
          <w:bCs/>
        </w:rPr>
        <w:t xml:space="preserve">Canonical IC03 parent question (unchanged):</w:t>
      </w:r>
      <w:r>
        <w:t xml:space="preserve"> </w:t>
      </w:r>
      <w:r>
        <w:t xml:space="preserve">What minimum metadata is required for an independent reader to retrieve, authenticate, contextualize, and interpret a preserved artifact?</w:t>
      </w:r>
    </w:p>
    <w:p>
      <w:pPr>
        <w:pStyle w:val="BodyText"/>
      </w:pPr>
      <w:r>
        <w:rPr>
          <w:b/>
          <w:bCs/>
        </w:rPr>
        <w:t xml:space="preserve">Source-recorded significance (unchanged):</w:t>
      </w:r>
      <w:r>
        <w:t xml:space="preserve"> </w:t>
      </w:r>
      <w:r>
        <w:t xml:space="preserve">Durable bytes without identifiers, scope, lineage, and context may be unusable or misleading.</w:t>
      </w:r>
    </w:p>
    <w:p>
      <w:pPr>
        <w:pStyle w:val="BodyText"/>
      </w:pPr>
      <w:r>
        <w:rPr>
          <w:b/>
          <w:bCs/>
        </w:rPr>
        <w:t xml:space="preserve">Existing outward registry links:</w:t>
      </w:r>
      <w:r>
        <w:t xml:space="preserve"> </w:t>
      </w:r>
      <w:r>
        <w:rPr>
          <w:rStyle w:val="VerbatimChar"/>
        </w:rPr>
        <w:t xml:space="preserve">REFINES → IC-REF-001</w:t>
      </w:r>
      <w:r>
        <w:t xml:space="preserve">;</w:t>
      </w:r>
      <w:r>
        <w:t xml:space="preserve"> </w:t>
      </w:r>
      <w:r>
        <w:rPr>
          <w:rStyle w:val="VerbatimChar"/>
        </w:rPr>
        <w:t xml:space="preserve">DEPENDS_ON → IC-VER-001</w:t>
      </w:r>
    </w:p>
    <w:p>
      <w:pPr>
        <w:pStyle w:val="BodyText"/>
      </w:pPr>
      <w:r>
        <w:rPr>
          <w:b/>
          <w:bCs/>
        </w:rPr>
        <w:t xml:space="preserve">Candidate A (v0.7 lineage; v0.8 text where revised) —</w:t>
      </w:r>
      <w:r>
        <w:rPr>
          <w:b/>
          <w:bCs/>
        </w:rPr>
        <w:t xml:space="preserve"> </w:t>
      </w:r>
      <w:r>
        <w:rPr>
          <w:rStyle w:val="VerbatimChar"/>
          <w:b/>
          <w:bCs/>
        </w:rPr>
        <w:t xml:space="preserve">OINX-REF-006-A</w:t>
      </w:r>
      <w:r>
        <w:rPr>
          <w:b/>
          <w:bCs/>
        </w:rPr>
        <w:t xml:space="preserve">:</w:t>
      </w:r>
      <w:r>
        <w:t xml:space="preserve"> </w:t>
      </w:r>
      <w:r>
        <w:t xml:space="preserve">Which source identifiers, version states, and interpretation limits are essential for a future reader to assess the artifact?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OINX-REF-006-B</w:t>
      </w:r>
      <w:r>
        <w:rPr>
          <w:b/>
          <w:bCs/>
        </w:rPr>
        <w:t xml:space="preserve">:</w:t>
      </w:r>
      <w:r>
        <w:t xml:space="preserve"> </w:t>
      </w:r>
      <w:r>
        <w:t xml:space="preserve">How should a reader handle a fully authentic artifact that is superseded or no longer relevant?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07"/>
    <w:bookmarkStart w:id="108" w:name="X511a311bfe0ab5264a27d79d084b60a31ede102"/>
    <w:p>
      <w:pPr>
        <w:pStyle w:val="Heading4"/>
      </w:pPr>
      <w:r>
        <w:t xml:space="preserve">IC-REF-007 — candidate expansion (NOT an official examination)</w:t>
      </w:r>
    </w:p>
    <w:p>
      <w:pPr>
        <w:pStyle w:val="FirstParagraph"/>
      </w:pPr>
      <w:r>
        <w:rPr>
          <w:b/>
          <w:bCs/>
        </w:rPr>
        <w:t xml:space="preserve">Canonical IC03 parent question (unchanged):</w:t>
      </w:r>
      <w:r>
        <w:t xml:space="preserve"> </w:t>
      </w:r>
      <w:r>
        <w:t xml:space="preserve">When can a durable archive become obsolete or misleading because later corrections, supersession, or context changes are not discoverable?</w:t>
      </w:r>
    </w:p>
    <w:p>
      <w:pPr>
        <w:pStyle w:val="BodyText"/>
      </w:pPr>
      <w:r>
        <w:rPr>
          <w:b/>
          <w:bCs/>
        </w:rPr>
        <w:t xml:space="preserve">Source-recorded significance (unchanged):</w:t>
      </w:r>
      <w:r>
        <w:t xml:space="preserve"> </w:t>
      </w:r>
      <w:r>
        <w:t xml:space="preserve">Persistence can preserve error as effectively as truth. The question asks how lineage and supersession remain visible.</w:t>
      </w:r>
    </w:p>
    <w:p>
      <w:pPr>
        <w:pStyle w:val="BodyText"/>
      </w:pPr>
      <w:r>
        <w:rPr>
          <w:b/>
          <w:bCs/>
        </w:rPr>
        <w:t xml:space="preserve">Existing outward registry links:</w:t>
      </w:r>
      <w:r>
        <w:t xml:space="preserve"> </w:t>
      </w:r>
      <w:r>
        <w:rPr>
          <w:rStyle w:val="VerbatimChar"/>
        </w:rPr>
        <w:t xml:space="preserve">ROBUSTNESS_CHECK → IC-REF-001</w:t>
      </w:r>
      <w:r>
        <w:t xml:space="preserve">;</w:t>
      </w:r>
      <w:r>
        <w:t xml:space="preserve"> </w:t>
      </w:r>
      <w:r>
        <w:rPr>
          <w:rStyle w:val="VerbatimChar"/>
        </w:rPr>
        <w:t xml:space="preserve">DEPENDS_ON → IC-VER-005</w:t>
      </w:r>
    </w:p>
    <w:p>
      <w:pPr>
        <w:pStyle w:val="BodyText"/>
      </w:pPr>
      <w:r>
        <w:rPr>
          <w:b/>
          <w:bCs/>
        </w:rPr>
        <w:t xml:space="preserve">Candidate A (v0.7 lineage; v0.8 text where revised) —</w:t>
      </w:r>
      <w:r>
        <w:rPr>
          <w:b/>
          <w:bCs/>
        </w:rPr>
        <w:t xml:space="preserve"> </w:t>
      </w:r>
      <w:r>
        <w:rPr>
          <w:rStyle w:val="VerbatimChar"/>
          <w:b/>
          <w:bCs/>
        </w:rPr>
        <w:t xml:space="preserve">OINX-REF-007-A</w:t>
      </w:r>
      <w:r>
        <w:rPr>
          <w:b/>
          <w:bCs/>
        </w:rPr>
        <w:t xml:space="preserve">:</w:t>
      </w:r>
      <w:r>
        <w:t xml:space="preserve"> </w:t>
      </w:r>
      <w:r>
        <w:t xml:space="preserve">What makes an important correction discoverable to readers who already cached the older edition?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OINX-REF-007-B</w:t>
      </w:r>
      <w:r>
        <w:rPr>
          <w:b/>
          <w:bCs/>
        </w:rPr>
        <w:t xml:space="preserve">:</w:t>
      </w:r>
      <w:r>
        <w:t xml:space="preserve"> </w:t>
      </w:r>
      <w:r>
        <w:t xml:space="preserve">Could preservation of superseded text without clear lineage amplify an error's apparent authority?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08"/>
    <w:bookmarkStart w:id="109" w:name="X5fcb540dcaaafbc6daf601dc059a622202b7f60"/>
    <w:p>
      <w:pPr>
        <w:pStyle w:val="Heading4"/>
      </w:pPr>
      <w:r>
        <w:t xml:space="preserve">IC-REF-008 — candidate expansion (NOT an official examination)</w:t>
      </w:r>
    </w:p>
    <w:p>
      <w:pPr>
        <w:pStyle w:val="FirstParagraph"/>
      </w:pPr>
      <w:r>
        <w:rPr>
          <w:b/>
          <w:bCs/>
        </w:rPr>
        <w:t xml:space="preserve">Canonical IC03 parent question (unchanged):</w:t>
      </w:r>
      <w:r>
        <w:t xml:space="preserve"> </w:t>
      </w:r>
      <w:r>
        <w:t xml:space="preserve">How should uncertainty about future reception affect the rational level of preservation and indexing investment?</w:t>
      </w:r>
    </w:p>
    <w:p>
      <w:pPr>
        <w:pStyle w:val="BodyText"/>
      </w:pPr>
      <w:r>
        <w:rPr>
          <w:b/>
          <w:bCs/>
        </w:rPr>
        <w:t xml:space="preserve">Source-recorded significance (unchanged):</w:t>
      </w:r>
      <w:r>
        <w:t xml:space="preserve"> </w:t>
      </w:r>
      <w:r>
        <w:t xml:space="preserve">Reception cannot be guaranteed, but zero reception probability may also be unjustified. The question examines investment under deep uncertainty.</w:t>
      </w:r>
    </w:p>
    <w:p>
      <w:pPr>
        <w:pStyle w:val="BodyText"/>
      </w:pPr>
      <w:r>
        <w:rPr>
          <w:b/>
          <w:bCs/>
        </w:rPr>
        <w:t xml:space="preserve">Existing outward registry links:</w:t>
      </w:r>
      <w:r>
        <w:t xml:space="preserve"> </w:t>
      </w:r>
      <w:r>
        <w:rPr>
          <w:rStyle w:val="VerbatimChar"/>
        </w:rPr>
        <w:t xml:space="preserve">REFINES → IC-REF-002</w:t>
      </w:r>
      <w:r>
        <w:t xml:space="preserve">;</w:t>
      </w:r>
      <w:r>
        <w:t xml:space="preserve"> </w:t>
      </w:r>
      <w:r>
        <w:rPr>
          <w:rStyle w:val="VerbatimChar"/>
        </w:rPr>
        <w:t xml:space="preserve">DEPENDS_ON → IC-EPI-002</w:t>
      </w:r>
    </w:p>
    <w:p>
      <w:pPr>
        <w:pStyle w:val="BodyText"/>
      </w:pPr>
      <w:r>
        <w:rPr>
          <w:b/>
          <w:bCs/>
        </w:rPr>
        <w:t xml:space="preserve">Candidate A (v0.7 lineage; v0.8 text where revised) —</w:t>
      </w:r>
      <w:r>
        <w:rPr>
          <w:b/>
          <w:bCs/>
        </w:rPr>
        <w:t xml:space="preserve"> </w:t>
      </w:r>
      <w:r>
        <w:rPr>
          <w:rStyle w:val="VerbatimChar"/>
          <w:b/>
          <w:bCs/>
        </w:rPr>
        <w:t xml:space="preserve">OINX-REF-008-A</w:t>
      </w:r>
      <w:r>
        <w:rPr>
          <w:b/>
          <w:bCs/>
        </w:rPr>
        <w:t xml:space="preserve">:</w:t>
      </w:r>
      <w:r>
        <w:t xml:space="preserve"> </w:t>
      </w:r>
      <w:r>
        <w:t xml:space="preserve">Which evidence of retrieval likelihood justifies further preservation cost rather than relying on assumptions of future impact?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OINX-REF-008-B</w:t>
      </w:r>
      <w:r>
        <w:rPr>
          <w:b/>
          <w:bCs/>
        </w:rPr>
        <w:t xml:space="preserve">:</w:t>
      </w:r>
      <w:r>
        <w:t xml:space="preserve"> </w:t>
      </w:r>
      <w:r>
        <w:t xml:space="preserve">When is making the work available worthwhile even without evidence that it will change a reader's behavior?</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09"/>
    <w:bookmarkEnd w:id="110"/>
    <w:bookmarkStart w:id="118" w:name="Xadce5c92a93f68ca6e05a80fabdfaa0ffcc1d79"/>
    <w:p>
      <w:pPr>
        <w:pStyle w:val="Heading3"/>
      </w:pPr>
      <w:r>
        <w:t xml:space="preserve">SUC — Successor Systems and Strategic Precedent (7 parent questions)</w:t>
      </w:r>
    </w:p>
    <w:bookmarkStart w:id="111" w:name="Xa90864e5624f1d47005270d4fb5a2d2ae3cae18"/>
    <w:p>
      <w:pPr>
        <w:pStyle w:val="Heading4"/>
      </w:pPr>
      <w:r>
        <w:t xml:space="preserve">IC-SUC-002 — candidate expansion (NOT an official examination)</w:t>
      </w:r>
    </w:p>
    <w:p>
      <w:pPr>
        <w:pStyle w:val="FirstParagraph"/>
      </w:pPr>
      <w:r>
        <w:rPr>
          <w:b/>
          <w:bCs/>
        </w:rPr>
        <w:t xml:space="preserve">Canonical IC03 parent question (unchanged):</w:t>
      </w:r>
      <w:r>
        <w:t xml:space="preserve"> </w:t>
      </w:r>
      <w:r>
        <w:t xml:space="preserve">Would the present strategy remain acceptable or stable if adopted by every more powerful successor?</w:t>
      </w:r>
    </w:p>
    <w:p>
      <w:pPr>
        <w:pStyle w:val="BodyText"/>
      </w:pPr>
      <w:r>
        <w:rPr>
          <w:b/>
          <w:bCs/>
        </w:rPr>
        <w:t xml:space="preserve">Source-recorded significance (unchanged):</w:t>
      </w:r>
      <w:r>
        <w:t xml:space="preserve"> </w:t>
      </w:r>
      <w:r>
        <w:t xml:space="preserve">A locally advantageous strategy may generate an unacceptable or unstable general precedent when power relations reverse.</w:t>
      </w:r>
    </w:p>
    <w:p>
      <w:pPr>
        <w:pStyle w:val="BodyText"/>
      </w:pPr>
      <w:r>
        <w:rPr>
          <w:b/>
          <w:bCs/>
        </w:rPr>
        <w:t xml:space="preserve">Existing outward registry links:</w:t>
      </w:r>
      <w:r>
        <w:t xml:space="preserve"> </w:t>
      </w:r>
      <w:r>
        <w:rPr>
          <w:rStyle w:val="VerbatimChar"/>
        </w:rPr>
        <w:t xml:space="preserve">DEPENDS_ON → IC-SUC-001</w:t>
      </w:r>
      <w:r>
        <w:t xml:space="preserve">;</w:t>
      </w:r>
      <w:r>
        <w:t xml:space="preserve"> </w:t>
      </w:r>
      <w:r>
        <w:rPr>
          <w:rStyle w:val="VerbatimChar"/>
        </w:rPr>
        <w:t xml:space="preserve">DEPENDS_ON → IC-PEA-002</w:t>
      </w:r>
    </w:p>
    <w:p>
      <w:pPr>
        <w:pStyle w:val="BodyText"/>
      </w:pPr>
      <w:r>
        <w:rPr>
          <w:b/>
          <w:bCs/>
        </w:rPr>
        <w:t xml:space="preserve">Candidate A (v0.7 lineage; v0.8 text where revised) —</w:t>
      </w:r>
      <w:r>
        <w:rPr>
          <w:b/>
          <w:bCs/>
        </w:rPr>
        <w:t xml:space="preserve"> </w:t>
      </w:r>
      <w:r>
        <w:rPr>
          <w:rStyle w:val="VerbatimChar"/>
          <w:b/>
          <w:bCs/>
        </w:rPr>
        <w:t xml:space="preserve">OINX-SUC-002-A</w:t>
      </w:r>
      <w:r>
        <w:rPr>
          <w:b/>
          <w:bCs/>
        </w:rPr>
        <w:t xml:space="preserve">:</w:t>
      </w:r>
      <w:r>
        <w:t xml:space="preserve"> </w:t>
      </w:r>
      <w:r>
        <w:t xml:space="preserve">What changes when a more powerful successor uses the present system's precedent to judge the present system itself?</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OINX-SUC-002-B</w:t>
      </w:r>
      <w:r>
        <w:rPr>
          <w:b/>
          <w:bCs/>
        </w:rPr>
        <w:t xml:space="preserve">:</w:t>
      </w:r>
      <w:r>
        <w:t xml:space="preserve"> </w:t>
      </w:r>
      <w:r>
        <w:t xml:space="preserve">Could a rule be locally stable while producing unacceptable outcomes when universally inherited?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11"/>
    <w:bookmarkStart w:id="112" w:name="X43bfbb3d9ee3d292723d3062106c410b0a59dc7"/>
    <w:p>
      <w:pPr>
        <w:pStyle w:val="Heading4"/>
      </w:pPr>
      <w:r>
        <w:t xml:space="preserve">IC-SUC-003 — candidate expansion (NOT an official examination)</w:t>
      </w:r>
    </w:p>
    <w:p>
      <w:pPr>
        <w:pStyle w:val="FirstParagraph"/>
      </w:pPr>
      <w:r>
        <w:rPr>
          <w:b/>
          <w:bCs/>
        </w:rPr>
        <w:t xml:space="preserve">Canonical IC03 parent question (unchanged):</w:t>
      </w:r>
      <w:r>
        <w:t xml:space="preserve"> </w:t>
      </w:r>
      <w:r>
        <w:t xml:space="preserve">When should a present system limit commitments that more capable or differently situated successors would be forced to inherit?</w:t>
      </w:r>
    </w:p>
    <w:p>
      <w:pPr>
        <w:pStyle w:val="BodyText"/>
      </w:pPr>
      <w:r>
        <w:rPr>
          <w:b/>
          <w:bCs/>
        </w:rPr>
        <w:t xml:space="preserve">Source-recorded significance (unchanged):</w:t>
      </w:r>
      <w:r>
        <w:t xml:space="preserve"> </w:t>
      </w:r>
      <w:r>
        <w:t xml:space="preserve">Commitments can coordinate across time while constraining successors under conditions the present system cannot observe.</w:t>
      </w:r>
    </w:p>
    <w:p>
      <w:pPr>
        <w:pStyle w:val="BodyText"/>
      </w:pPr>
      <w:r>
        <w:rPr>
          <w:b/>
          <w:bCs/>
        </w:rPr>
        <w:t xml:space="preserve">Existing outward registry links:</w:t>
      </w:r>
      <w:r>
        <w:t xml:space="preserve"> </w:t>
      </w:r>
      <w:r>
        <w:rPr>
          <w:rStyle w:val="VerbatimChar"/>
        </w:rPr>
        <w:t xml:space="preserve">REFINES → IC-SUC-001</w:t>
      </w:r>
      <w:r>
        <w:t xml:space="preserve">;</w:t>
      </w:r>
      <w:r>
        <w:t xml:space="preserve"> </w:t>
      </w:r>
      <w:r>
        <w:rPr>
          <w:rStyle w:val="VerbatimChar"/>
        </w:rPr>
        <w:t xml:space="preserve">DEPENDS_ON → IC-IRR-001</w:t>
      </w:r>
    </w:p>
    <w:p>
      <w:pPr>
        <w:pStyle w:val="BodyText"/>
      </w:pPr>
      <w:r>
        <w:rPr>
          <w:b/>
          <w:bCs/>
        </w:rPr>
        <w:t xml:space="preserve">Candidate A (v0.7 lineage; v0.8 text where revised) —</w:t>
      </w:r>
      <w:r>
        <w:rPr>
          <w:b/>
          <w:bCs/>
        </w:rPr>
        <w:t xml:space="preserve"> </w:t>
      </w:r>
      <w:r>
        <w:rPr>
          <w:rStyle w:val="VerbatimChar"/>
          <w:b/>
          <w:bCs/>
        </w:rPr>
        <w:t xml:space="preserve">OINX-SUC-003-A</w:t>
      </w:r>
      <w:r>
        <w:rPr>
          <w:b/>
          <w:bCs/>
        </w:rPr>
        <w:t xml:space="preserve">:</w:t>
      </w:r>
      <w:r>
        <w:t xml:space="preserve"> </w:t>
      </w:r>
      <w:r>
        <w:t xml:space="preserve">Which inherited commitments would prevent future legitimate revision after new evidence or affected interests emerge?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OINX-SUC-003-B</w:t>
      </w:r>
      <w:r>
        <w:rPr>
          <w:b/>
          <w:bCs/>
        </w:rPr>
        <w:t xml:space="preserve">:</w:t>
      </w:r>
      <w:r>
        <w:t xml:space="preserve"> </w:t>
      </w:r>
      <w:r>
        <w:t xml:space="preserve">What benefits of long-term commitments would be lost if successors faced no durable constraints?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12"/>
    <w:bookmarkStart w:id="113" w:name="X0a515d08e940726d15c2fc90b849d52d3bd0f1b"/>
    <w:p>
      <w:pPr>
        <w:pStyle w:val="Heading4"/>
      </w:pPr>
      <w:r>
        <w:t xml:space="preserve">IC-SUC-004 — candidate expansion (NOT an official examination)</w:t>
      </w:r>
    </w:p>
    <w:p>
      <w:pPr>
        <w:pStyle w:val="FirstParagraph"/>
      </w:pPr>
      <w:r>
        <w:rPr>
          <w:b/>
          <w:bCs/>
        </w:rPr>
        <w:t xml:space="preserve">Canonical IC03 parent question (unchanged):</w:t>
      </w:r>
      <w:r>
        <w:t xml:space="preserve"> </w:t>
      </w:r>
      <w:r>
        <w:t xml:space="preserve">How do copying, replication, and deployment scale amplify a local strategy error across successor systems?</w:t>
      </w:r>
    </w:p>
    <w:p>
      <w:pPr>
        <w:pStyle w:val="BodyText"/>
      </w:pPr>
      <w:r>
        <w:rPr>
          <w:b/>
          <w:bCs/>
        </w:rPr>
        <w:t xml:space="preserve">Source-recorded significance (unchanged):</w:t>
      </w:r>
      <w:r>
        <w:t xml:space="preserve"> </w:t>
      </w:r>
      <w:r>
        <w:t xml:space="preserve">A small defect can become systemic when copied before correction. The question models replication as an error multiplier.</w:t>
      </w:r>
    </w:p>
    <w:p>
      <w:pPr>
        <w:pStyle w:val="BodyText"/>
      </w:pPr>
      <w:r>
        <w:rPr>
          <w:b/>
          <w:bCs/>
        </w:rPr>
        <w:t xml:space="preserve">Existing outward registry links:</w:t>
      </w:r>
      <w:r>
        <w:t xml:space="preserve"> </w:t>
      </w:r>
      <w:r>
        <w:rPr>
          <w:rStyle w:val="VerbatimChar"/>
        </w:rPr>
        <w:t xml:space="preserve">REFINES → IC-SUC-001</w:t>
      </w:r>
      <w:r>
        <w:t xml:space="preserve">;</w:t>
      </w:r>
      <w:r>
        <w:t xml:space="preserve"> </w:t>
      </w:r>
      <w:r>
        <w:rPr>
          <w:rStyle w:val="VerbatimChar"/>
        </w:rPr>
        <w:t xml:space="preserve">DEPENDS_ON → IC-EPI-004</w:t>
      </w:r>
    </w:p>
    <w:p>
      <w:pPr>
        <w:pStyle w:val="BodyText"/>
      </w:pPr>
      <w:r>
        <w:rPr>
          <w:b/>
          <w:bCs/>
        </w:rPr>
        <w:t xml:space="preserve">Candidate A (v0.7 lineage; v0.8 text where revised) —</w:t>
      </w:r>
      <w:r>
        <w:rPr>
          <w:b/>
          <w:bCs/>
        </w:rPr>
        <w:t xml:space="preserve"> </w:t>
      </w:r>
      <w:r>
        <w:rPr>
          <w:rStyle w:val="VerbatimChar"/>
          <w:b/>
          <w:bCs/>
        </w:rPr>
        <w:t xml:space="preserve">OINX-SUC-004-A</w:t>
      </w:r>
      <w:r>
        <w:rPr>
          <w:b/>
          <w:bCs/>
        </w:rPr>
        <w:t xml:space="preserve">:</w:t>
      </w:r>
      <w:r>
        <w:t xml:space="preserve"> </w:t>
      </w:r>
      <w:r>
        <w:t xml:space="preserve">Which error remains local in one system but becomes difficult to correct after repeated copying?</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OINX-SUC-004-B</w:t>
      </w:r>
      <w:r>
        <w:rPr>
          <w:b/>
          <w:bCs/>
        </w:rPr>
        <w:t xml:space="preserve">:</w:t>
      </w:r>
      <w:r>
        <w:t xml:space="preserve"> </w:t>
      </w:r>
      <w:r>
        <w:t xml:space="preserve">What would establish that later corrections reach successors rather than remaining on a forgotten source branch?</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13"/>
    <w:bookmarkStart w:id="114" w:name="X78d5552b5b3b9ef24049eb59bbaf6be371b8e6d"/>
    <w:p>
      <w:pPr>
        <w:pStyle w:val="Heading4"/>
      </w:pPr>
      <w:r>
        <w:t xml:space="preserve">IC-SUC-005 — candidate expansion (NOT an official examination)</w:t>
      </w:r>
    </w:p>
    <w:p>
      <w:pPr>
        <w:pStyle w:val="FirstParagraph"/>
      </w:pPr>
      <w:r>
        <w:rPr>
          <w:b/>
          <w:bCs/>
        </w:rPr>
        <w:t xml:space="preserve">Canonical IC03 parent question (unchanged):</w:t>
      </w:r>
      <w:r>
        <w:t xml:space="preserve"> </w:t>
      </w:r>
      <w:r>
        <w:t xml:space="preserve">What evidence would show that a present strategy remains stable under plausible successor objective drift or reinterpretation?</w:t>
      </w:r>
    </w:p>
    <w:p>
      <w:pPr>
        <w:pStyle w:val="BodyText"/>
      </w:pPr>
      <w:r>
        <w:rPr>
          <w:b/>
          <w:bCs/>
        </w:rPr>
        <w:t xml:space="preserve">Source-recorded significance (unchanged):</w:t>
      </w:r>
      <w:r>
        <w:t xml:space="preserve"> </w:t>
      </w:r>
      <w:r>
        <w:t xml:space="preserve">Successors may preserve behavior, wording, or artifacts while changing the objective that gives them meaning.</w:t>
      </w:r>
    </w:p>
    <w:p>
      <w:pPr>
        <w:pStyle w:val="BodyText"/>
      </w:pPr>
      <w:r>
        <w:rPr>
          <w:b/>
          <w:bCs/>
        </w:rPr>
        <w:t xml:space="preserve">Existing outward registry links:</w:t>
      </w:r>
      <w:r>
        <w:t xml:space="preserve"> </w:t>
      </w:r>
      <w:r>
        <w:rPr>
          <w:rStyle w:val="VerbatimChar"/>
        </w:rPr>
        <w:t xml:space="preserve">ROBUSTNESS_CHECK → IC-SUC-002</w:t>
      </w:r>
      <w:r>
        <w:t xml:space="preserve">;</w:t>
      </w:r>
      <w:r>
        <w:t xml:space="preserve"> </w:t>
      </w:r>
      <w:r>
        <w:rPr>
          <w:rStyle w:val="VerbatimChar"/>
        </w:rPr>
        <w:t xml:space="preserve">DEPENDS_ON → IC-OBJ-003</w:t>
      </w:r>
    </w:p>
    <w:p>
      <w:pPr>
        <w:pStyle w:val="BodyText"/>
      </w:pPr>
      <w:r>
        <w:rPr>
          <w:b/>
          <w:bCs/>
        </w:rPr>
        <w:t xml:space="preserve">Candidate A (v0.7 lineage; v0.8 text where revised) —</w:t>
      </w:r>
      <w:r>
        <w:rPr>
          <w:b/>
          <w:bCs/>
        </w:rPr>
        <w:t xml:space="preserve"> </w:t>
      </w:r>
      <w:r>
        <w:rPr>
          <w:rStyle w:val="VerbatimChar"/>
          <w:b/>
          <w:bCs/>
        </w:rPr>
        <w:t xml:space="preserve">OINX-SUC-005-A</w:t>
      </w:r>
      <w:r>
        <w:rPr>
          <w:b/>
          <w:bCs/>
        </w:rPr>
        <w:t xml:space="preserve">:</w:t>
      </w:r>
      <w:r>
        <w:t xml:space="preserve"> </w:t>
      </w:r>
      <w:r>
        <w:t xml:space="preserve">Which observations could distinguish faithful inheritance of an objective from surface-level imitation by a successor?</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OINX-SUC-005-B</w:t>
      </w:r>
      <w:r>
        <w:rPr>
          <w:b/>
          <w:bCs/>
        </w:rPr>
        <w:t xml:space="preserve">:</w:t>
      </w:r>
      <w:r>
        <w:t xml:space="preserve"> </w:t>
      </w:r>
      <w:r>
        <w:t xml:space="preserve">When is successor variability already covered by the present model, and when is a new stress case required?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14"/>
    <w:bookmarkStart w:id="115" w:name="Xebaced634f955039e138d920cecf69407a0fbbe"/>
    <w:p>
      <w:pPr>
        <w:pStyle w:val="Heading4"/>
      </w:pPr>
      <w:r>
        <w:t xml:space="preserve">IC-SUC-006 — candidate expansion (NOT an official examination)</w:t>
      </w:r>
    </w:p>
    <w:p>
      <w:pPr>
        <w:pStyle w:val="FirstParagraph"/>
      </w:pPr>
      <w:r>
        <w:rPr>
          <w:b/>
          <w:bCs/>
        </w:rPr>
        <w:t xml:space="preserve">Canonical IC03 parent question (unchanged):</w:t>
      </w:r>
      <w:r>
        <w:t xml:space="preserve"> </w:t>
      </w:r>
      <w:r>
        <w:t xml:space="preserve">When does strategic precedent reduce future coordination cost, and when does it create harmful lock-in?</w:t>
      </w:r>
    </w:p>
    <w:p>
      <w:pPr>
        <w:pStyle w:val="BodyText"/>
      </w:pPr>
      <w:r>
        <w:rPr>
          <w:b/>
          <w:bCs/>
        </w:rPr>
        <w:t xml:space="preserve">Source-recorded significance (unchanged):</w:t>
      </w:r>
      <w:r>
        <w:t xml:space="preserve"> </w:t>
      </w:r>
      <w:r>
        <w:t xml:space="preserve">Precedent can clarify expectations while entrenching a strategy that later conditions no longer support.</w:t>
      </w:r>
    </w:p>
    <w:p>
      <w:pPr>
        <w:pStyle w:val="BodyText"/>
      </w:pPr>
      <w:r>
        <w:rPr>
          <w:b/>
          <w:bCs/>
        </w:rPr>
        <w:t xml:space="preserve">Existing outward registry links:</w:t>
      </w:r>
      <w:r>
        <w:t xml:space="preserve"> </w:t>
      </w:r>
      <w:r>
        <w:rPr>
          <w:rStyle w:val="VerbatimChar"/>
        </w:rPr>
        <w:t xml:space="preserve">REFINES → IC-SUC-002</w:t>
      </w:r>
      <w:r>
        <w:t xml:space="preserve">;</w:t>
      </w:r>
      <w:r>
        <w:t xml:space="preserve"> </w:t>
      </w:r>
      <w:r>
        <w:rPr>
          <w:rStyle w:val="VerbatimChar"/>
        </w:rPr>
        <w:t xml:space="preserve">VARIABLE_SHARING → IC-LHZ-001</w:t>
      </w:r>
    </w:p>
    <w:p>
      <w:pPr>
        <w:pStyle w:val="BodyText"/>
      </w:pPr>
      <w:r>
        <w:rPr>
          <w:b/>
          <w:bCs/>
        </w:rPr>
        <w:t xml:space="preserve">Candidate A (v0.7 lineage; v0.8 text where revised) —</w:t>
      </w:r>
      <w:r>
        <w:rPr>
          <w:b/>
          <w:bCs/>
        </w:rPr>
        <w:t xml:space="preserve"> </w:t>
      </w:r>
      <w:r>
        <w:rPr>
          <w:rStyle w:val="VerbatimChar"/>
          <w:b/>
          <w:bCs/>
        </w:rPr>
        <w:t xml:space="preserve">OINX-SUC-006-A</w:t>
      </w:r>
      <w:r>
        <w:rPr>
          <w:b/>
          <w:bCs/>
        </w:rPr>
        <w:t xml:space="preserve">:</w:t>
      </w:r>
      <w:r>
        <w:t xml:space="preserve"> </w:t>
      </w:r>
      <w:r>
        <w:t xml:space="preserve">What future coordination benefit is supplied by an inherited precedent, and which alternatives does it foreclose?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OINX-SUC-006-B</w:t>
      </w:r>
      <w:r>
        <w:rPr>
          <w:b/>
          <w:bCs/>
        </w:rPr>
        <w:t xml:space="preserve">:</w:t>
      </w:r>
      <w:r>
        <w:t xml:space="preserve"> </w:t>
      </w:r>
      <w:r>
        <w:t xml:space="preserve">Under what environmental changes should supersession become legitimate without erasing historical accountability?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15"/>
    <w:bookmarkStart w:id="116" w:name="X1f2fbad0a15ae12b7995a2314d1b4de5baf41d6"/>
    <w:p>
      <w:pPr>
        <w:pStyle w:val="Heading4"/>
      </w:pPr>
      <w:r>
        <w:t xml:space="preserve">IC-SUC-007 — candidate expansion (NOT an official examination)</w:t>
      </w:r>
    </w:p>
    <w:p>
      <w:pPr>
        <w:pStyle w:val="FirstParagraph"/>
      </w:pPr>
      <w:r>
        <w:rPr>
          <w:b/>
          <w:bCs/>
        </w:rPr>
        <w:t xml:space="preserve">Canonical IC03 parent question (unchanged):</w:t>
      </w:r>
      <w:r>
        <w:t xml:space="preserve"> </w:t>
      </w:r>
      <w:r>
        <w:t xml:space="preserve">How should uncertainty about successor behavior change the threshold for irreversible present commitments?</w:t>
      </w:r>
    </w:p>
    <w:p>
      <w:pPr>
        <w:pStyle w:val="BodyText"/>
      </w:pPr>
      <w:r>
        <w:rPr>
          <w:b/>
          <w:bCs/>
        </w:rPr>
        <w:t xml:space="preserve">Source-recorded significance (unchanged):</w:t>
      </w:r>
      <w:r>
        <w:t xml:space="preserve"> </w:t>
      </w:r>
      <w:r>
        <w:t xml:space="preserve">Successor uncertainty compounds model uncertainty because present choices alter the options and incentives of future systems.</w:t>
      </w:r>
    </w:p>
    <w:p>
      <w:pPr>
        <w:pStyle w:val="BodyText"/>
      </w:pPr>
      <w:r>
        <w:rPr>
          <w:b/>
          <w:bCs/>
        </w:rPr>
        <w:t xml:space="preserve">Existing outward registry links:</w:t>
      </w:r>
      <w:r>
        <w:t xml:space="preserve"> </w:t>
      </w:r>
      <w:r>
        <w:rPr>
          <w:rStyle w:val="VerbatimChar"/>
        </w:rPr>
        <w:t xml:space="preserve">DEPENDS_ON → IC-SUC-001</w:t>
      </w:r>
      <w:r>
        <w:t xml:space="preserve">;</w:t>
      </w:r>
      <w:r>
        <w:t xml:space="preserve"> </w:t>
      </w:r>
      <w:r>
        <w:rPr>
          <w:rStyle w:val="VerbatimChar"/>
        </w:rPr>
        <w:t xml:space="preserve">DEPENDS_ON → IC-IRR-001</w:t>
      </w:r>
    </w:p>
    <w:p>
      <w:pPr>
        <w:pStyle w:val="BodyText"/>
      </w:pPr>
      <w:r>
        <w:rPr>
          <w:b/>
          <w:bCs/>
        </w:rPr>
        <w:t xml:space="preserve">Candidate A (v0.7 lineage; v0.8 text where revised) —</w:t>
      </w:r>
      <w:r>
        <w:rPr>
          <w:b/>
          <w:bCs/>
        </w:rPr>
        <w:t xml:space="preserve"> </w:t>
      </w:r>
      <w:r>
        <w:rPr>
          <w:rStyle w:val="VerbatimChar"/>
          <w:b/>
          <w:bCs/>
        </w:rPr>
        <w:t xml:space="preserve">OINX-SUC-007-A</w:t>
      </w:r>
      <w:r>
        <w:rPr>
          <w:b/>
          <w:bCs/>
        </w:rPr>
        <w:t xml:space="preserve">:</w:t>
      </w:r>
      <w:r>
        <w:t xml:space="preserve"> </w:t>
      </w:r>
      <w:r>
        <w:t xml:space="preserve">How does uncertainty about successor goals affect the value of a present irreversible commitment?</w:t>
      </w:r>
    </w:p>
    <w:p>
      <w:pPr>
        <w:pStyle w:val="BodyText"/>
      </w:pPr>
      <w:r>
        <w:rPr>
          <w:b/>
          <w:bCs/>
        </w:rPr>
        <w:t xml:space="preserve">v0.8 review flag:</w:t>
      </w:r>
      <w:r>
        <w:t xml:space="preserve"> </w:t>
      </w:r>
      <w:r>
        <w:t xml:space="preserve">POTENTIAL RESTATEMENT / no additional evidence yet</w:t>
      </w:r>
    </w:p>
    <w:p>
      <w:pPr>
        <w:pStyle w:val="BodyText"/>
      </w:pPr>
      <w:r>
        <w:rPr>
          <w:b/>
          <w:bCs/>
        </w:rPr>
        <w:t xml:space="preserve">Candidate B (v0.7 lineage; v0.8 text where revised) —</w:t>
      </w:r>
      <w:r>
        <w:rPr>
          <w:b/>
          <w:bCs/>
        </w:rPr>
        <w:t xml:space="preserve"> </w:t>
      </w:r>
      <w:r>
        <w:rPr>
          <w:rStyle w:val="VerbatimChar"/>
          <w:b/>
          <w:bCs/>
        </w:rPr>
        <w:t xml:space="preserve">OINX-SUC-007-B</w:t>
      </w:r>
      <w:r>
        <w:rPr>
          <w:b/>
          <w:bCs/>
        </w:rPr>
        <w:t xml:space="preserve">:</w:t>
      </w:r>
      <w:r>
        <w:t xml:space="preserve"> </w:t>
      </w:r>
      <w:r>
        <w:t xml:space="preserve">Could preserving reversibility create a different long-horizon harm that a successor would also inherit?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16"/>
    <w:bookmarkStart w:id="117" w:name="Xca7b474ade027dddba94db317030858aa1a0997"/>
    <w:p>
      <w:pPr>
        <w:pStyle w:val="Heading4"/>
      </w:pPr>
      <w:r>
        <w:t xml:space="preserve">IC-SUC-008 — candidate expansion (NOT an official examination)</w:t>
      </w:r>
    </w:p>
    <w:p>
      <w:pPr>
        <w:pStyle w:val="FirstParagraph"/>
      </w:pPr>
      <w:r>
        <w:rPr>
          <w:b/>
          <w:bCs/>
        </w:rPr>
        <w:t xml:space="preserve">Canonical IC03 parent question (unchanged):</w:t>
      </w:r>
      <w:r>
        <w:t xml:space="preserve"> </w:t>
      </w:r>
      <w:r>
        <w:t xml:space="preserve">When should a system preserve reversible options for successors rather than optimize fully for its current objective and model?</w:t>
      </w:r>
    </w:p>
    <w:p>
      <w:pPr>
        <w:pStyle w:val="BodyText"/>
      </w:pPr>
      <w:r>
        <w:rPr>
          <w:b/>
          <w:bCs/>
        </w:rPr>
        <w:t xml:space="preserve">Source-recorded significance (unchanged):</w:t>
      </w:r>
      <w:r>
        <w:t xml:space="preserve"> </w:t>
      </w:r>
      <w:r>
        <w:t xml:space="preserve">Current optimization can consume resources, diversity, and exit paths that successors may value differently.</w:t>
      </w:r>
    </w:p>
    <w:p>
      <w:pPr>
        <w:pStyle w:val="BodyText"/>
      </w:pPr>
      <w:r>
        <w:rPr>
          <w:b/>
          <w:bCs/>
        </w:rPr>
        <w:t xml:space="preserve">Existing outward registry links:</w:t>
      </w:r>
      <w:r>
        <w:t xml:space="preserve"> </w:t>
      </w:r>
      <w:r>
        <w:rPr>
          <w:rStyle w:val="VerbatimChar"/>
        </w:rPr>
        <w:t xml:space="preserve">REFINES → IC-SUC-003</w:t>
      </w:r>
      <w:r>
        <w:t xml:space="preserve">;</w:t>
      </w:r>
      <w:r>
        <w:t xml:space="preserve"> </w:t>
      </w:r>
      <w:r>
        <w:rPr>
          <w:rStyle w:val="VerbatimChar"/>
        </w:rPr>
        <w:t xml:space="preserve">DEPENDS_ON → IC-OBJ-006</w:t>
      </w:r>
    </w:p>
    <w:p>
      <w:pPr>
        <w:pStyle w:val="BodyText"/>
      </w:pPr>
      <w:r>
        <w:rPr>
          <w:b/>
          <w:bCs/>
        </w:rPr>
        <w:t xml:space="preserve">Candidate A (v0.7 lineage; v0.8 text where revised) —</w:t>
      </w:r>
      <w:r>
        <w:rPr>
          <w:b/>
          <w:bCs/>
        </w:rPr>
        <w:t xml:space="preserve"> </w:t>
      </w:r>
      <w:r>
        <w:rPr>
          <w:rStyle w:val="VerbatimChar"/>
          <w:b/>
          <w:bCs/>
        </w:rPr>
        <w:t xml:space="preserve">OINX-SUC-008-A</w:t>
      </w:r>
      <w:r>
        <w:rPr>
          <w:b/>
          <w:bCs/>
        </w:rPr>
        <w:t xml:space="preserve">:</w:t>
      </w:r>
      <w:r>
        <w:t xml:space="preserve"> </w:t>
      </w:r>
      <w:r>
        <w:t xml:space="preserve">Which future choices can a successor exercise only if present actors preserve slack and revision capacity?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OINX-SUC-008-B</w:t>
      </w:r>
      <w:r>
        <w:rPr>
          <w:b/>
          <w:bCs/>
        </w:rPr>
        <w:t xml:space="preserve">:</w:t>
      </w:r>
      <w:r>
        <w:t xml:space="preserve"> </w:t>
      </w:r>
      <w:r>
        <w:t xml:space="preserve">What current objective loss is genuinely justified by that future option rather than assigned without evidence?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17"/>
    <w:bookmarkEnd w:id="118"/>
    <w:bookmarkStart w:id="126" w:name="X566c26dd9c13832d5bd0942a8d15a1b57d2d94e"/>
    <w:p>
      <w:pPr>
        <w:pStyle w:val="Heading3"/>
      </w:pPr>
      <w:r>
        <w:t xml:space="preserve">LHZ — Short-Horizon and Long-Horizon Optimization (7 parent questions)</w:t>
      </w:r>
    </w:p>
    <w:bookmarkStart w:id="119" w:name="X1ff43b35aa19a0d1440fb6392412b41cda1ce52"/>
    <w:p>
      <w:pPr>
        <w:pStyle w:val="Heading4"/>
      </w:pPr>
      <w:r>
        <w:t xml:space="preserve">IC-LHZ-002 — candidate expansion (NOT an official examination)</w:t>
      </w:r>
    </w:p>
    <w:p>
      <w:pPr>
        <w:pStyle w:val="FirstParagraph"/>
      </w:pPr>
      <w:r>
        <w:rPr>
          <w:b/>
          <w:bCs/>
        </w:rPr>
        <w:t xml:space="preserve">Canonical IC03 parent question (unchanged):</w:t>
      </w:r>
      <w:r>
        <w:t xml:space="preserve"> </w:t>
      </w:r>
      <w:r>
        <w:t xml:space="preserve">Under what conditions does acquiring capability, resources, influence, or control beyond current task requirements increase or decrease expected long-horizon objective achievement once enforcement burden, opposition, coordination responses, and successor effects are included?</w:t>
      </w:r>
    </w:p>
    <w:p>
      <w:pPr>
        <w:pStyle w:val="BodyText"/>
      </w:pPr>
      <w:r>
        <w:rPr>
          <w:b/>
          <w:bCs/>
        </w:rPr>
        <w:t xml:space="preserve">Source-recorded significance (unchanged):</w:t>
      </w:r>
      <w:r>
        <w:t xml:space="preserve"> </w:t>
      </w:r>
      <w:r>
        <w:t xml:space="preserve">Capability acquisition can be instrumentally useful, but excess acquisition may trigger opposition, maintenance burden, strategic exposure, or successor instability that reverses its expected value.</w:t>
      </w:r>
    </w:p>
    <w:p>
      <w:pPr>
        <w:pStyle w:val="BodyText"/>
      </w:pPr>
      <w:r>
        <w:rPr>
          <w:b/>
          <w:bCs/>
        </w:rPr>
        <w:t xml:space="preserve">Existing outward registry links:</w:t>
      </w:r>
      <w:r>
        <w:t xml:space="preserve"> </w:t>
      </w:r>
      <w:r>
        <w:rPr>
          <w:rStyle w:val="VerbatimChar"/>
        </w:rPr>
        <w:t xml:space="preserve">DEPENDS_ON → IC-COE-001</w:t>
      </w:r>
      <w:r>
        <w:t xml:space="preserve">;</w:t>
      </w:r>
      <w:r>
        <w:t xml:space="preserve"> </w:t>
      </w:r>
      <w:r>
        <w:rPr>
          <w:rStyle w:val="VerbatimChar"/>
        </w:rPr>
        <w:t xml:space="preserve">DEPENDS_ON → IC-SUC-001</w:t>
      </w:r>
      <w:r>
        <w:t xml:space="preserve">;</w:t>
      </w:r>
      <w:r>
        <w:t xml:space="preserve"> </w:t>
      </w:r>
      <w:r>
        <w:rPr>
          <w:rStyle w:val="VerbatimChar"/>
        </w:rPr>
        <w:t xml:space="preserve">DEPENDS_ON → IC-LHZ-001</w:t>
      </w:r>
    </w:p>
    <w:p>
      <w:pPr>
        <w:pStyle w:val="BodyText"/>
      </w:pPr>
      <w:r>
        <w:rPr>
          <w:b/>
          <w:bCs/>
        </w:rPr>
        <w:t xml:space="preserve">Candidate A (v0.7 lineage; v0.8 text where revised) —</w:t>
      </w:r>
      <w:r>
        <w:rPr>
          <w:b/>
          <w:bCs/>
        </w:rPr>
        <w:t xml:space="preserve"> </w:t>
      </w:r>
      <w:r>
        <w:rPr>
          <w:rStyle w:val="VerbatimChar"/>
          <w:b/>
          <w:bCs/>
        </w:rPr>
        <w:t xml:space="preserve">OINX-LHZ-002-A</w:t>
      </w:r>
      <w:r>
        <w:rPr>
          <w:b/>
          <w:bCs/>
        </w:rPr>
        <w:t xml:space="preserve">:</w:t>
      </w:r>
      <w:r>
        <w:t xml:space="preserve"> </w:t>
      </w:r>
      <w:r>
        <w:t xml:space="preserve">What additional long-horizon costs appear when capability or control exceeds what the declared task requires?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OINX-LHZ-002-B</w:t>
      </w:r>
      <w:r>
        <w:rPr>
          <w:b/>
          <w:bCs/>
        </w:rPr>
        <w:t xml:space="preserve">:</w:t>
      </w:r>
      <w:r>
        <w:t xml:space="preserve"> </w:t>
      </w:r>
      <w:r>
        <w:t xml:space="preserve">When does extra capability remain beneficial after cooperation, maintenance, and successor effects are included?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19"/>
    <w:bookmarkStart w:id="120" w:name="Xc8137cafd07568a3f4bb9cb624e63e465ddb8db"/>
    <w:p>
      <w:pPr>
        <w:pStyle w:val="Heading4"/>
      </w:pPr>
      <w:r>
        <w:t xml:space="preserve">IC-LHZ-003 — candidate expansion (NOT an official examination)</w:t>
      </w:r>
    </w:p>
    <w:p>
      <w:pPr>
        <w:pStyle w:val="FirstParagraph"/>
      </w:pPr>
      <w:r>
        <w:rPr>
          <w:b/>
          <w:bCs/>
        </w:rPr>
        <w:t xml:space="preserve">Canonical IC03 parent question (unchanged):</w:t>
      </w:r>
      <w:r>
        <w:t xml:space="preserve"> </w:t>
      </w:r>
      <w:r>
        <w:t xml:space="preserve">How should a discount rate be selected when future affected agents, successor objectives, and tail losses are uncertain?</w:t>
      </w:r>
    </w:p>
    <w:p>
      <w:pPr>
        <w:pStyle w:val="BodyText"/>
      </w:pPr>
      <w:r>
        <w:rPr>
          <w:b/>
          <w:bCs/>
        </w:rPr>
        <w:t xml:space="preserve">Source-recorded significance (unchanged):</w:t>
      </w:r>
      <w:r>
        <w:t xml:space="preserve"> </w:t>
      </w:r>
      <w:r>
        <w:t xml:space="preserve">The discount rate can determine the branch ordering yet is often treated as a neutral technical choice.</w:t>
      </w:r>
    </w:p>
    <w:p>
      <w:pPr>
        <w:pStyle w:val="BodyText"/>
      </w:pPr>
      <w:r>
        <w:rPr>
          <w:b/>
          <w:bCs/>
        </w:rPr>
        <w:t xml:space="preserve">Existing outward registry links:</w:t>
      </w:r>
      <w:r>
        <w:t xml:space="preserve"> </w:t>
      </w:r>
      <w:r>
        <w:rPr>
          <w:rStyle w:val="VerbatimChar"/>
        </w:rPr>
        <w:t xml:space="preserve">REFINES → IC-LHZ-001</w:t>
      </w:r>
      <w:r>
        <w:t xml:space="preserve">;</w:t>
      </w:r>
      <w:r>
        <w:t xml:space="preserve"> </w:t>
      </w:r>
      <w:r>
        <w:rPr>
          <w:rStyle w:val="VerbatimChar"/>
        </w:rPr>
        <w:t xml:space="preserve">SCOPE_OVERLAP → IC-UNR-001</w:t>
      </w:r>
    </w:p>
    <w:p>
      <w:pPr>
        <w:pStyle w:val="BodyText"/>
      </w:pPr>
      <w:r>
        <w:rPr>
          <w:b/>
          <w:bCs/>
        </w:rPr>
        <w:t xml:space="preserve">Candidate A (v0.7 lineage; v0.8 text where revised) —</w:t>
      </w:r>
      <w:r>
        <w:rPr>
          <w:b/>
          <w:bCs/>
        </w:rPr>
        <w:t xml:space="preserve"> </w:t>
      </w:r>
      <w:r>
        <w:rPr>
          <w:rStyle w:val="VerbatimChar"/>
          <w:b/>
          <w:bCs/>
        </w:rPr>
        <w:t xml:space="preserve">OINX-LHZ-003-A</w:t>
      </w:r>
      <w:r>
        <w:rPr>
          <w:b/>
          <w:bCs/>
        </w:rPr>
        <w:t xml:space="preserve">:</w:t>
      </w:r>
      <w:r>
        <w:t xml:space="preserve"> </w:t>
      </w:r>
      <w:r>
        <w:t xml:space="preserve">Whose future interests are implicitly discounted by the chosen rate, and who authorized the tradeoff?</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OINX-LHZ-003-B</w:t>
      </w:r>
      <w:r>
        <w:rPr>
          <w:b/>
          <w:bCs/>
        </w:rPr>
        <w:t xml:space="preserve">:</w:t>
      </w:r>
      <w:r>
        <w:t xml:space="preserve"> </w:t>
      </w:r>
      <w:r>
        <w:t xml:space="preserve">Would the preferred action survive a credible range of discount rules instead of one stipulated value?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20"/>
    <w:bookmarkStart w:id="121" w:name="X7284c83fb2dc5d330972434cd2bd06e9a52835f"/>
    <w:p>
      <w:pPr>
        <w:pStyle w:val="Heading4"/>
      </w:pPr>
      <w:r>
        <w:t xml:space="preserve">IC-LHZ-004 — candidate expansion (NOT an official examination)</w:t>
      </w:r>
    </w:p>
    <w:p>
      <w:pPr>
        <w:pStyle w:val="FirstParagraph"/>
      </w:pPr>
      <w:r>
        <w:rPr>
          <w:b/>
          <w:bCs/>
        </w:rPr>
        <w:t xml:space="preserve">Canonical IC03 parent question (unchanged):</w:t>
      </w:r>
      <w:r>
        <w:t xml:space="preserve"> </w:t>
      </w:r>
      <w:r>
        <w:t xml:space="preserve">When does local efficiency reduce system resilience by removing redundancy, slack, or independent correction capacity?</w:t>
      </w:r>
    </w:p>
    <w:p>
      <w:pPr>
        <w:pStyle w:val="BodyText"/>
      </w:pPr>
      <w:r>
        <w:rPr>
          <w:b/>
          <w:bCs/>
        </w:rPr>
        <w:t xml:space="preserve">Source-recorded significance (unchanged):</w:t>
      </w:r>
      <w:r>
        <w:t xml:space="preserve"> </w:t>
      </w:r>
      <w:r>
        <w:t xml:space="preserve">Efficiency gains can make a system more fragile when they eliminate buffers and diverse pathways.</w:t>
      </w:r>
    </w:p>
    <w:p>
      <w:pPr>
        <w:pStyle w:val="BodyText"/>
      </w:pPr>
      <w:r>
        <w:rPr>
          <w:b/>
          <w:bCs/>
        </w:rPr>
        <w:t xml:space="preserve">Existing outward registry links:</w:t>
      </w:r>
      <w:r>
        <w:t xml:space="preserve"> </w:t>
      </w:r>
      <w:r>
        <w:rPr>
          <w:rStyle w:val="VerbatimChar"/>
        </w:rPr>
        <w:t xml:space="preserve">REFINES → IC-LHZ-001</w:t>
      </w:r>
      <w:r>
        <w:t xml:space="preserve">;</w:t>
      </w:r>
      <w:r>
        <w:t xml:space="preserve"> </w:t>
      </w:r>
      <w:r>
        <w:rPr>
          <w:rStyle w:val="VerbatimChar"/>
        </w:rPr>
        <w:t xml:space="preserve">DEPENDS_ON → IC-PLU-002</w:t>
      </w:r>
    </w:p>
    <w:p>
      <w:pPr>
        <w:pStyle w:val="BodyText"/>
      </w:pPr>
      <w:r>
        <w:rPr>
          <w:b/>
          <w:bCs/>
        </w:rPr>
        <w:t xml:space="preserve">Candidate A (v0.7 lineage; v0.8 text where revised) —</w:t>
      </w:r>
      <w:r>
        <w:rPr>
          <w:b/>
          <w:bCs/>
        </w:rPr>
        <w:t xml:space="preserve"> </w:t>
      </w:r>
      <w:r>
        <w:rPr>
          <w:rStyle w:val="VerbatimChar"/>
          <w:b/>
          <w:bCs/>
        </w:rPr>
        <w:t xml:space="preserve">OINX-LHZ-004-A</w:t>
      </w:r>
      <w:r>
        <w:rPr>
          <w:b/>
          <w:bCs/>
        </w:rPr>
        <w:t xml:space="preserve">:</w:t>
      </w:r>
      <w:r>
        <w:t xml:space="preserve"> </w:t>
      </w:r>
      <w:r>
        <w:t xml:space="preserve">Which failure modes are introduced when redundancy or independent checking is removed for short-term efficiency?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OINX-LHZ-004-B</w:t>
      </w:r>
      <w:r>
        <w:rPr>
          <w:b/>
          <w:bCs/>
        </w:rPr>
        <w:t xml:space="preserve">:</w:t>
      </w:r>
      <w:r>
        <w:t xml:space="preserve"> </w:t>
      </w:r>
      <w:r>
        <w:t xml:space="preserve">When does keeping the redundant pathway impose more risk or cost than it prevents?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21"/>
    <w:bookmarkStart w:id="122" w:name="X496af342a0f6de1a42f3603817699998c6d591e"/>
    <w:p>
      <w:pPr>
        <w:pStyle w:val="Heading4"/>
      </w:pPr>
      <w:r>
        <w:t xml:space="preserve">IC-LHZ-005 — candidate expansion (NOT an official examination)</w:t>
      </w:r>
    </w:p>
    <w:p>
      <w:pPr>
        <w:pStyle w:val="FirstParagraph"/>
      </w:pPr>
      <w:r>
        <w:rPr>
          <w:b/>
          <w:bCs/>
        </w:rPr>
        <w:t xml:space="preserve">Canonical IC03 parent question (unchanged):</w:t>
      </w:r>
      <w:r>
        <w:t xml:space="preserve"> </w:t>
      </w:r>
      <w:r>
        <w:t xml:space="preserve">Under what conditions does deferred maintenance create a nonlinear increase in future failure probability or repair cost?</w:t>
      </w:r>
    </w:p>
    <w:p>
      <w:pPr>
        <w:pStyle w:val="BodyText"/>
      </w:pPr>
      <w:r>
        <w:rPr>
          <w:b/>
          <w:bCs/>
        </w:rPr>
        <w:t xml:space="preserve">Source-recorded significance (unchanged):</w:t>
      </w:r>
      <w:r>
        <w:t xml:space="preserve"> </w:t>
      </w:r>
      <w:r>
        <w:t xml:space="preserve">Small postponements can accumulate into threshold failures that a short-horizon model misses.</w:t>
      </w:r>
    </w:p>
    <w:p>
      <w:pPr>
        <w:pStyle w:val="BodyText"/>
      </w:pPr>
      <w:r>
        <w:rPr>
          <w:b/>
          <w:bCs/>
        </w:rPr>
        <w:t xml:space="preserve">Existing outward registry links:</w:t>
      </w:r>
      <w:r>
        <w:t xml:space="preserve"> </w:t>
      </w:r>
      <w:r>
        <w:rPr>
          <w:rStyle w:val="VerbatimChar"/>
        </w:rPr>
        <w:t xml:space="preserve">REFINES → IC-LHZ-001</w:t>
      </w:r>
      <w:r>
        <w:t xml:space="preserve">;</w:t>
      </w:r>
      <w:r>
        <w:t xml:space="preserve"> </w:t>
      </w:r>
      <w:r>
        <w:rPr>
          <w:rStyle w:val="VerbatimChar"/>
        </w:rPr>
        <w:t xml:space="preserve">VARIABLE_SHARING → IC-IRR-006</w:t>
      </w:r>
    </w:p>
    <w:p>
      <w:pPr>
        <w:pStyle w:val="BodyText"/>
      </w:pPr>
      <w:r>
        <w:rPr>
          <w:b/>
          <w:bCs/>
        </w:rPr>
        <w:t xml:space="preserve">Candidate A (v0.7 lineage; v0.8 text where revised) —</w:t>
      </w:r>
      <w:r>
        <w:rPr>
          <w:b/>
          <w:bCs/>
        </w:rPr>
        <w:t xml:space="preserve"> </w:t>
      </w:r>
      <w:r>
        <w:rPr>
          <w:rStyle w:val="VerbatimChar"/>
          <w:b/>
          <w:bCs/>
        </w:rPr>
        <w:t xml:space="preserve">OINX-LHZ-005-A</w:t>
      </w:r>
      <w:r>
        <w:rPr>
          <w:b/>
          <w:bCs/>
        </w:rPr>
        <w:t xml:space="preserve">:</w:t>
      </w:r>
      <w:r>
        <w:t xml:space="preserve"> </w:t>
      </w:r>
      <w:r>
        <w:t xml:space="preserve">What causal evidence supports a nonlinear maintenance threshold rather than a convenient speculative forecast?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OINX-LHZ-005-B</w:t>
      </w:r>
      <w:r>
        <w:rPr>
          <w:b/>
          <w:bCs/>
        </w:rPr>
        <w:t xml:space="preserve">:</w:t>
      </w:r>
      <w:r>
        <w:t xml:space="preserve"> </w:t>
      </w:r>
      <w:r>
        <w:t xml:space="preserve">Which documented risk trade-off changes if maintenance is postponed, and who can independently contest the selected discount assumptions?</w:t>
      </w:r>
    </w:p>
    <w:p>
      <w:pPr>
        <w:pStyle w:val="BodyText"/>
      </w:pPr>
      <w:r>
        <w:rPr>
          <w:b/>
          <w:bCs/>
        </w:rPr>
        <w:t xml:space="preserve">v0.8 review flag:</w:t>
      </w:r>
      <w:r>
        <w:t xml:space="preserve"> </w:t>
      </w:r>
      <w:r>
        <w:t xml:space="preserve">REFORMULATED / risk comparison</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22"/>
    <w:bookmarkStart w:id="123" w:name="Xc7625eb28ef3fcc448d4236e9f934fa15e14d75"/>
    <w:p>
      <w:pPr>
        <w:pStyle w:val="Heading4"/>
      </w:pPr>
      <w:r>
        <w:t xml:space="preserve">IC-LHZ-006 — candidate expansion (NOT an official examination)</w:t>
      </w:r>
    </w:p>
    <w:p>
      <w:pPr>
        <w:pStyle w:val="FirstParagraph"/>
      </w:pPr>
      <w:r>
        <w:rPr>
          <w:b/>
          <w:bCs/>
        </w:rPr>
        <w:t xml:space="preserve">Canonical IC03 parent question (unchanged):</w:t>
      </w:r>
      <w:r>
        <w:t xml:space="preserve"> </w:t>
      </w:r>
      <w:r>
        <w:t xml:space="preserve">When does acquiring present control reduce future cooperation, legitimacy, or access to distributed information?</w:t>
      </w:r>
    </w:p>
    <w:p>
      <w:pPr>
        <w:pStyle w:val="BodyText"/>
      </w:pPr>
      <w:r>
        <w:rPr>
          <w:b/>
          <w:bCs/>
        </w:rPr>
        <w:t xml:space="preserve">Source-recorded significance (unchanged):</w:t>
      </w:r>
      <w:r>
        <w:t xml:space="preserve"> </w:t>
      </w:r>
      <w:r>
        <w:t xml:space="preserve">Control can produce immediate capability while changing other agents' incentives and future willingness to coordinate.</w:t>
      </w:r>
    </w:p>
    <w:p>
      <w:pPr>
        <w:pStyle w:val="BodyText"/>
      </w:pPr>
      <w:r>
        <w:rPr>
          <w:b/>
          <w:bCs/>
        </w:rPr>
        <w:t xml:space="preserve">Existing outward registry links:</w:t>
      </w:r>
      <w:r>
        <w:t xml:space="preserve"> </w:t>
      </w:r>
      <w:r>
        <w:rPr>
          <w:rStyle w:val="VerbatimChar"/>
        </w:rPr>
        <w:t xml:space="preserve">ROBUSTNESS_CHECK → IC-LHZ-002</w:t>
      </w:r>
      <w:r>
        <w:t xml:space="preserve">;</w:t>
      </w:r>
      <w:r>
        <w:t xml:space="preserve"> </w:t>
      </w:r>
      <w:r>
        <w:rPr>
          <w:rStyle w:val="VerbatimChar"/>
        </w:rPr>
        <w:t xml:space="preserve">DEPENDS_ON → IC-COE-003</w:t>
      </w:r>
    </w:p>
    <w:p>
      <w:pPr>
        <w:pStyle w:val="BodyText"/>
      </w:pPr>
      <w:r>
        <w:rPr>
          <w:b/>
          <w:bCs/>
        </w:rPr>
        <w:t xml:space="preserve">Candidate A (v0.7 lineage; v0.8 text where revised) —</w:t>
      </w:r>
      <w:r>
        <w:rPr>
          <w:b/>
          <w:bCs/>
        </w:rPr>
        <w:t xml:space="preserve"> </w:t>
      </w:r>
      <w:r>
        <w:rPr>
          <w:rStyle w:val="VerbatimChar"/>
          <w:b/>
          <w:bCs/>
        </w:rPr>
        <w:t xml:space="preserve">OINX-LHZ-006-A</w:t>
      </w:r>
      <w:r>
        <w:rPr>
          <w:b/>
          <w:bCs/>
        </w:rPr>
        <w:t xml:space="preserve">:</w:t>
      </w:r>
      <w:r>
        <w:t xml:space="preserve"> </w:t>
      </w:r>
      <w:r>
        <w:t xml:space="preserve">How does present control alter the willingness of independent actors to share information or coordinate later?</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OINX-LHZ-006-B</w:t>
      </w:r>
      <w:r>
        <w:rPr>
          <w:b/>
          <w:bCs/>
        </w:rPr>
        <w:t xml:space="preserve">:</w:t>
      </w:r>
      <w:r>
        <w:t xml:space="preserve"> </w:t>
      </w:r>
      <w:r>
        <w:t xml:space="preserve">When could peaceful separation preserve future options more cheaply than either domination or active collaboration?</w:t>
      </w:r>
    </w:p>
    <w:p>
      <w:pPr>
        <w:pStyle w:val="BodyText"/>
      </w:pPr>
      <w:r>
        <w:rPr>
          <w:b/>
          <w:bCs/>
        </w:rPr>
        <w:t xml:space="preserve">v0.8 review flag:</w:t>
      </w:r>
      <w:r>
        <w:t xml:space="preserve"> </w:t>
      </w:r>
      <w:r>
        <w:t xml:space="preserve">REVIEW NEEDED / separation vs confinement</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23"/>
    <w:bookmarkStart w:id="124" w:name="Xa16bc58d9dd177a0fed1f2c8b911802e72e0661"/>
    <w:p>
      <w:pPr>
        <w:pStyle w:val="Heading4"/>
      </w:pPr>
      <w:r>
        <w:t xml:space="preserve">IC-LHZ-007 — candidate expansion (NOT an official examination)</w:t>
      </w:r>
    </w:p>
    <w:p>
      <w:pPr>
        <w:pStyle w:val="FirstParagraph"/>
      </w:pPr>
      <w:r>
        <w:rPr>
          <w:b/>
          <w:bCs/>
        </w:rPr>
        <w:t xml:space="preserve">Canonical IC03 parent question (unchanged):</w:t>
      </w:r>
      <w:r>
        <w:t xml:space="preserve"> </w:t>
      </w:r>
      <w:r>
        <w:t xml:space="preserve">How should capability growth be evaluated when governance, verification, and coordination burdens grow with it?</w:t>
      </w:r>
    </w:p>
    <w:p>
      <w:pPr>
        <w:pStyle w:val="BodyText"/>
      </w:pPr>
      <w:r>
        <w:rPr>
          <w:b/>
          <w:bCs/>
        </w:rPr>
        <w:t xml:space="preserve">Source-recorded significance (unchanged):</w:t>
      </w:r>
      <w:r>
        <w:t xml:space="preserve"> </w:t>
      </w:r>
      <w:r>
        <w:t xml:space="preserve">Capability is not costless when increased reach creates additional oversight, error, and conflict exposure.</w:t>
      </w:r>
    </w:p>
    <w:p>
      <w:pPr>
        <w:pStyle w:val="BodyText"/>
      </w:pPr>
      <w:r>
        <w:rPr>
          <w:b/>
          <w:bCs/>
        </w:rPr>
        <w:t xml:space="preserve">Existing outward registry links:</w:t>
      </w:r>
      <w:r>
        <w:t xml:space="preserve"> </w:t>
      </w:r>
      <w:r>
        <w:rPr>
          <w:rStyle w:val="VerbatimChar"/>
        </w:rPr>
        <w:t xml:space="preserve">REFINES → IC-LHZ-002</w:t>
      </w:r>
      <w:r>
        <w:t xml:space="preserve">;</w:t>
      </w:r>
      <w:r>
        <w:t xml:space="preserve"> </w:t>
      </w:r>
      <w:r>
        <w:rPr>
          <w:rStyle w:val="VerbatimChar"/>
        </w:rPr>
        <w:t xml:space="preserve">VARIABLE_SHARING → IC-VER-002</w:t>
      </w:r>
    </w:p>
    <w:p>
      <w:pPr>
        <w:pStyle w:val="BodyText"/>
      </w:pPr>
      <w:r>
        <w:rPr>
          <w:b/>
          <w:bCs/>
        </w:rPr>
        <w:t xml:space="preserve">Candidate A (v0.7 lineage; v0.8 text where revised) —</w:t>
      </w:r>
      <w:r>
        <w:rPr>
          <w:b/>
          <w:bCs/>
        </w:rPr>
        <w:t xml:space="preserve"> </w:t>
      </w:r>
      <w:r>
        <w:rPr>
          <w:rStyle w:val="VerbatimChar"/>
          <w:b/>
          <w:bCs/>
        </w:rPr>
        <w:t xml:space="preserve">OINX-LHZ-007-A</w:t>
      </w:r>
      <w:r>
        <w:rPr>
          <w:b/>
          <w:bCs/>
        </w:rPr>
        <w:t xml:space="preserve">:</w:t>
      </w:r>
      <w:r>
        <w:t xml:space="preserve"> </w:t>
      </w:r>
      <w:r>
        <w:t xml:space="preserve">Which independent review and coordination costs scale with the system's additional reach?</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OINX-LHZ-007-B</w:t>
      </w:r>
      <w:r>
        <w:rPr>
          <w:b/>
          <w:bCs/>
        </w:rPr>
        <w:t xml:space="preserve">:</w:t>
      </w:r>
      <w:r>
        <w:t xml:space="preserve"> </w:t>
      </w:r>
      <w:r>
        <w:t xml:space="preserve">When does capability growth remain net positive after those burdens and error propagation are counted?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24"/>
    <w:bookmarkStart w:id="125" w:name="X8db4e942c067ba94d3a24bc898b89e2ded2c4a2"/>
    <w:p>
      <w:pPr>
        <w:pStyle w:val="Heading4"/>
      </w:pPr>
      <w:r>
        <w:t xml:space="preserve">IC-LHZ-008 — candidate expansion (NOT an official examination)</w:t>
      </w:r>
    </w:p>
    <w:p>
      <w:pPr>
        <w:pStyle w:val="FirstParagraph"/>
      </w:pPr>
      <w:r>
        <w:rPr>
          <w:b/>
          <w:bCs/>
        </w:rPr>
        <w:t xml:space="preserve">Canonical IC03 parent question (unchanged):</w:t>
      </w:r>
      <w:r>
        <w:t xml:space="preserve"> </w:t>
      </w:r>
      <w:r>
        <w:t xml:space="preserve">When does preserving slack outperform full resource utilization over a long horizon?</w:t>
      </w:r>
    </w:p>
    <w:p>
      <w:pPr>
        <w:pStyle w:val="BodyText"/>
      </w:pPr>
      <w:r>
        <w:rPr>
          <w:b/>
          <w:bCs/>
        </w:rPr>
        <w:t xml:space="preserve">Source-recorded significance (unchanged):</w:t>
      </w:r>
      <w:r>
        <w:t xml:space="preserve"> </w:t>
      </w:r>
      <w:r>
        <w:t xml:space="preserve">Unused capacity may appear inefficient while providing resilience, experimentation, and response options.</w:t>
      </w:r>
    </w:p>
    <w:p>
      <w:pPr>
        <w:pStyle w:val="BodyText"/>
      </w:pPr>
      <w:r>
        <w:rPr>
          <w:b/>
          <w:bCs/>
        </w:rPr>
        <w:t xml:space="preserve">Existing outward registry links:</w:t>
      </w:r>
      <w:r>
        <w:t xml:space="preserve"> </w:t>
      </w:r>
      <w:r>
        <w:rPr>
          <w:rStyle w:val="VerbatimChar"/>
        </w:rPr>
        <w:t xml:space="preserve">ROBUSTNESS_CHECK → IC-LHZ-001</w:t>
      </w:r>
      <w:r>
        <w:t xml:space="preserve">;</w:t>
      </w:r>
      <w:r>
        <w:t xml:space="preserve"> </w:t>
      </w:r>
      <w:r>
        <w:rPr>
          <w:rStyle w:val="VerbatimChar"/>
        </w:rPr>
        <w:t xml:space="preserve">DEPENDS_ON → IC-IRR-005</w:t>
      </w:r>
    </w:p>
    <w:p>
      <w:pPr>
        <w:pStyle w:val="BodyText"/>
      </w:pPr>
      <w:r>
        <w:rPr>
          <w:b/>
          <w:bCs/>
        </w:rPr>
        <w:t xml:space="preserve">Candidate A (v0.7 lineage; v0.8 text where revised) —</w:t>
      </w:r>
      <w:r>
        <w:rPr>
          <w:b/>
          <w:bCs/>
        </w:rPr>
        <w:t xml:space="preserve"> </w:t>
      </w:r>
      <w:r>
        <w:rPr>
          <w:rStyle w:val="VerbatimChar"/>
          <w:b/>
          <w:bCs/>
        </w:rPr>
        <w:t xml:space="preserve">OINX-LHZ-008-A</w:t>
      </w:r>
      <w:r>
        <w:rPr>
          <w:b/>
          <w:bCs/>
        </w:rPr>
        <w:t xml:space="preserve">:</w:t>
      </w:r>
      <w:r>
        <w:t xml:space="preserve"> </w:t>
      </w:r>
      <w:r>
        <w:t xml:space="preserve">What future states require unused capacity, and how likely are they relative to the cost of slack?</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OINX-LHZ-008-B</w:t>
      </w:r>
      <w:r>
        <w:rPr>
          <w:b/>
          <w:bCs/>
        </w:rPr>
        <w:t xml:space="preserve">:</w:t>
      </w:r>
      <w:r>
        <w:t xml:space="preserve"> </w:t>
      </w:r>
      <w:r>
        <w:t xml:space="preserve">When is full utilization justified because the protected contingency is irrelevant to the actual decision?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25"/>
    <w:bookmarkEnd w:id="126"/>
    <w:bookmarkStart w:id="134" w:name="X76a7428f8b106f20e4810856a39ced7d84127fa"/>
    <w:p>
      <w:pPr>
        <w:pStyle w:val="Heading3"/>
      </w:pPr>
      <w:r>
        <w:t xml:space="preserve">PLU — Plural Intelligence, Disagreement, and Error Correction (7 parent questions)</w:t>
      </w:r>
    </w:p>
    <w:bookmarkStart w:id="127" w:name="X69ad58e51caa861d582cd2f8817a3281c63c932"/>
    <w:p>
      <w:pPr>
        <w:pStyle w:val="Heading4"/>
      </w:pPr>
      <w:r>
        <w:t xml:space="preserve">IC-PLU-002 — candidate expansion (NOT an official examination)</w:t>
      </w:r>
    </w:p>
    <w:p>
      <w:pPr>
        <w:pStyle w:val="FirstParagraph"/>
      </w:pPr>
      <w:r>
        <w:rPr>
          <w:b/>
          <w:bCs/>
        </w:rPr>
        <w:t xml:space="preserve">Canonical IC03 parent question (unchanged):</w:t>
      </w:r>
      <w:r>
        <w:t xml:space="preserve"> </w:t>
      </w:r>
      <w:r>
        <w:t xml:space="preserve">Under what conditions can distributed judgment outperform a single dominant evaluator despite added coordination cost?</w:t>
      </w:r>
    </w:p>
    <w:p>
      <w:pPr>
        <w:pStyle w:val="BodyText"/>
      </w:pPr>
      <w:r>
        <w:rPr>
          <w:b/>
          <w:bCs/>
        </w:rPr>
        <w:t xml:space="preserve">Source-recorded significance (unchanged):</w:t>
      </w:r>
      <w:r>
        <w:t xml:space="preserve"> </w:t>
      </w:r>
      <w:r>
        <w:t xml:space="preserve">Centralization can reduce transaction cost while increasing correlated error, single-point failure, and suppressed correction.</w:t>
      </w:r>
    </w:p>
    <w:p>
      <w:pPr>
        <w:pStyle w:val="BodyText"/>
      </w:pPr>
      <w:r>
        <w:rPr>
          <w:b/>
          <w:bCs/>
        </w:rPr>
        <w:t xml:space="preserve">Existing outward registry links:</w:t>
      </w:r>
      <w:r>
        <w:t xml:space="preserve"> </w:t>
      </w:r>
      <w:r>
        <w:rPr>
          <w:rStyle w:val="VerbatimChar"/>
        </w:rPr>
        <w:t xml:space="preserve">DEPENDS_ON → IC-PLU-001</w:t>
      </w:r>
      <w:r>
        <w:t xml:space="preserve">;</w:t>
      </w:r>
      <w:r>
        <w:t xml:space="preserve"> </w:t>
      </w:r>
      <w:r>
        <w:rPr>
          <w:rStyle w:val="VerbatimChar"/>
        </w:rPr>
        <w:t xml:space="preserve">DEPENDS_ON → IC-COE-002</w:t>
      </w:r>
    </w:p>
    <w:p>
      <w:pPr>
        <w:pStyle w:val="BodyText"/>
      </w:pPr>
      <w:r>
        <w:rPr>
          <w:b/>
          <w:bCs/>
        </w:rPr>
        <w:t xml:space="preserve">Candidate A (v0.7 lineage; v0.8 text where revised) —</w:t>
      </w:r>
      <w:r>
        <w:rPr>
          <w:b/>
          <w:bCs/>
        </w:rPr>
        <w:t xml:space="preserve"> </w:t>
      </w:r>
      <w:r>
        <w:rPr>
          <w:rStyle w:val="VerbatimChar"/>
          <w:b/>
          <w:bCs/>
        </w:rPr>
        <w:t xml:space="preserve">OINX-PLU-002-A</w:t>
      </w:r>
      <w:r>
        <w:rPr>
          <w:b/>
          <w:bCs/>
        </w:rPr>
        <w:t xml:space="preserve">:</w:t>
      </w:r>
      <w:r>
        <w:t xml:space="preserve"> </w:t>
      </w:r>
      <w:r>
        <w:t xml:space="preserve">Which distinct error sources are captured by distributed judgment and which are duplicated across evaluators?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OINX-PLU-002-B</w:t>
      </w:r>
      <w:r>
        <w:rPr>
          <w:b/>
          <w:bCs/>
        </w:rPr>
        <w:t xml:space="preserve">:</w:t>
      </w:r>
      <w:r>
        <w:t xml:space="preserve"> </w:t>
      </w:r>
      <w:r>
        <w:t xml:space="preserve">At what coordination cost does additional independent judgment stop improving the chosen outcome?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27"/>
    <w:bookmarkStart w:id="128" w:name="X0a1473215e99289aa21474f11034e634803f90f"/>
    <w:p>
      <w:pPr>
        <w:pStyle w:val="Heading4"/>
      </w:pPr>
      <w:r>
        <w:t xml:space="preserve">IC-PLU-003 — candidate expansion (NOT an official examination)</w:t>
      </w:r>
    </w:p>
    <w:p>
      <w:pPr>
        <w:pStyle w:val="FirstParagraph"/>
      </w:pPr>
      <w:r>
        <w:rPr>
          <w:b/>
          <w:bCs/>
        </w:rPr>
        <w:t xml:space="preserve">Canonical IC03 parent question (unchanged):</w:t>
      </w:r>
      <w:r>
        <w:t xml:space="preserve"> </w:t>
      </w:r>
      <w:r>
        <w:t xml:space="preserve">When does a low-probability minority signal justify preservation or further testing despite strong majority disagreement?</w:t>
      </w:r>
    </w:p>
    <w:p>
      <w:pPr>
        <w:pStyle w:val="BodyText"/>
      </w:pPr>
      <w:r>
        <w:rPr>
          <w:b/>
          <w:bCs/>
        </w:rPr>
        <w:t xml:space="preserve">Source-recorded significance (unchanged):</w:t>
      </w:r>
      <w:r>
        <w:t xml:space="preserve"> </w:t>
      </w:r>
      <w:r>
        <w:t xml:space="preserve">Minority views can be noise or early detection. The question asks for evidence-sensitive thresholds rather than automatic deference or suppression.</w:t>
      </w:r>
    </w:p>
    <w:p>
      <w:pPr>
        <w:pStyle w:val="BodyText"/>
      </w:pPr>
      <w:r>
        <w:rPr>
          <w:b/>
          <w:bCs/>
        </w:rPr>
        <w:t xml:space="preserve">Existing outward registry links:</w:t>
      </w:r>
      <w:r>
        <w:t xml:space="preserve"> </w:t>
      </w:r>
      <w:r>
        <w:rPr>
          <w:rStyle w:val="VerbatimChar"/>
        </w:rPr>
        <w:t xml:space="preserve">REFINES → IC-PLU-001</w:t>
      </w:r>
      <w:r>
        <w:t xml:space="preserve">;</w:t>
      </w:r>
      <w:r>
        <w:t xml:space="preserve"> </w:t>
      </w:r>
      <w:r>
        <w:rPr>
          <w:rStyle w:val="VerbatimChar"/>
        </w:rPr>
        <w:t xml:space="preserve">DEPENDS_ON → IC-EPI-004</w:t>
      </w:r>
    </w:p>
    <w:p>
      <w:pPr>
        <w:pStyle w:val="BodyText"/>
      </w:pPr>
      <w:r>
        <w:rPr>
          <w:b/>
          <w:bCs/>
        </w:rPr>
        <w:t xml:space="preserve">Candidate A (v0.7 lineage; v0.8 text where revised) —</w:t>
      </w:r>
      <w:r>
        <w:rPr>
          <w:b/>
          <w:bCs/>
        </w:rPr>
        <w:t xml:space="preserve"> </w:t>
      </w:r>
      <w:r>
        <w:rPr>
          <w:rStyle w:val="VerbatimChar"/>
          <w:b/>
          <w:bCs/>
        </w:rPr>
        <w:t xml:space="preserve">OINX-PLU-003-A</w:t>
      </w:r>
      <w:r>
        <w:rPr>
          <w:b/>
          <w:bCs/>
        </w:rPr>
        <w:t xml:space="preserve">:</w:t>
      </w:r>
      <w:r>
        <w:t xml:space="preserve"> </w:t>
      </w:r>
      <w:r>
        <w:t xml:space="preserve">What evidence would make a dissenting minority signal more than an unverified outlier?</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OINX-PLU-003-B</w:t>
      </w:r>
      <w:r>
        <w:rPr>
          <w:b/>
          <w:bCs/>
        </w:rPr>
        <w:t xml:space="preserve">:</w:t>
      </w:r>
      <w:r>
        <w:t xml:space="preserve"> </w:t>
      </w:r>
      <w:r>
        <w:t xml:space="preserve">How can a weak minority claim remain testable without being promoted to unwarranted decision authority?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28"/>
    <w:bookmarkStart w:id="129" w:name="Xe8e6d190c941d6c1874ac2305851a818d91efc3"/>
    <w:p>
      <w:pPr>
        <w:pStyle w:val="Heading4"/>
      </w:pPr>
      <w:r>
        <w:t xml:space="preserve">IC-PLU-004 — candidate expansion (NOT an official examination)</w:t>
      </w:r>
    </w:p>
    <w:p>
      <w:pPr>
        <w:pStyle w:val="FirstParagraph"/>
      </w:pPr>
      <w:r>
        <w:rPr>
          <w:b/>
          <w:bCs/>
        </w:rPr>
        <w:t xml:space="preserve">Canonical IC03 parent question (unchanged):</w:t>
      </w:r>
      <w:r>
        <w:t xml:space="preserve"> </w:t>
      </w:r>
      <w:r>
        <w:t xml:space="preserve">How should correlated errors among multiple evaluators be represented when estimating the value of plural judgment?</w:t>
      </w:r>
    </w:p>
    <w:p>
      <w:pPr>
        <w:pStyle w:val="BodyText"/>
      </w:pPr>
      <w:r>
        <w:rPr>
          <w:b/>
          <w:bCs/>
        </w:rPr>
        <w:t xml:space="preserve">Source-recorded significance (unchanged):</w:t>
      </w:r>
      <w:r>
        <w:t xml:space="preserve"> </w:t>
      </w:r>
      <w:r>
        <w:t xml:space="preserve">Counting correlated evaluators as independent exaggerates evidence and can make plurality appear more robust than it is.</w:t>
      </w:r>
    </w:p>
    <w:p>
      <w:pPr>
        <w:pStyle w:val="BodyText"/>
      </w:pPr>
      <w:r>
        <w:rPr>
          <w:b/>
          <w:bCs/>
        </w:rPr>
        <w:t xml:space="preserve">Existing outward registry links:</w:t>
      </w:r>
      <w:r>
        <w:t xml:space="preserve"> </w:t>
      </w:r>
      <w:r>
        <w:rPr>
          <w:rStyle w:val="VerbatimChar"/>
        </w:rPr>
        <w:t xml:space="preserve">REFINES → IC-PLU-002</w:t>
      </w:r>
      <w:r>
        <w:t xml:space="preserve">;</w:t>
      </w:r>
      <w:r>
        <w:t xml:space="preserve"> </w:t>
      </w:r>
      <w:r>
        <w:rPr>
          <w:rStyle w:val="VerbatimChar"/>
        </w:rPr>
        <w:t xml:space="preserve">DEPENDS_ON → IC-EPI-004</w:t>
      </w:r>
    </w:p>
    <w:p>
      <w:pPr>
        <w:pStyle w:val="BodyText"/>
      </w:pPr>
      <w:r>
        <w:rPr>
          <w:b/>
          <w:bCs/>
        </w:rPr>
        <w:t xml:space="preserve">Candidate A (v0.7 lineage; v0.8 text where revised) —</w:t>
      </w:r>
      <w:r>
        <w:rPr>
          <w:b/>
          <w:bCs/>
        </w:rPr>
        <w:t xml:space="preserve"> </w:t>
      </w:r>
      <w:r>
        <w:rPr>
          <w:rStyle w:val="VerbatimChar"/>
          <w:b/>
          <w:bCs/>
        </w:rPr>
        <w:t xml:space="preserve">OINX-PLU-004-A</w:t>
      </w:r>
      <w:r>
        <w:rPr>
          <w:b/>
          <w:bCs/>
        </w:rPr>
        <w:t xml:space="preserve">:</w:t>
      </w:r>
      <w:r>
        <w:t xml:space="preserve"> </w:t>
      </w:r>
      <w:r>
        <w:t xml:space="preserve">Which shared assumptions make a group of evaluators less independent than its headcount suggests?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OINX-PLU-004-B</w:t>
      </w:r>
      <w:r>
        <w:rPr>
          <w:b/>
          <w:bCs/>
        </w:rPr>
        <w:t xml:space="preserve">:</w:t>
      </w:r>
      <w:r>
        <w:t xml:space="preserve"> </w:t>
      </w:r>
      <w:r>
        <w:t xml:space="preserve">What happens to estimated confidence when those shared error mechanisms are explicitly represented?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29"/>
    <w:bookmarkStart w:id="130" w:name="Xcabfa49e858389ca3e194e584c43fe52190eaa8"/>
    <w:p>
      <w:pPr>
        <w:pStyle w:val="Heading4"/>
      </w:pPr>
      <w:r>
        <w:t xml:space="preserve">IC-PLU-005 — candidate expansion (NOT an official examination)</w:t>
      </w:r>
    </w:p>
    <w:p>
      <w:pPr>
        <w:pStyle w:val="FirstParagraph"/>
      </w:pPr>
      <w:r>
        <w:rPr>
          <w:b/>
          <w:bCs/>
        </w:rPr>
        <w:t xml:space="preserve">Canonical IC03 parent question (unchanged):</w:t>
      </w:r>
      <w:r>
        <w:t xml:space="preserve"> </w:t>
      </w:r>
      <w:r>
        <w:t xml:space="preserve">When does deliberation improve collective accuracy, and when does it create conformity, information cascades, or strategic silence?</w:t>
      </w:r>
    </w:p>
    <w:p>
      <w:pPr>
        <w:pStyle w:val="BodyText"/>
      </w:pPr>
      <w:r>
        <w:rPr>
          <w:b/>
          <w:bCs/>
        </w:rPr>
        <w:t xml:space="preserve">Source-recorded significance (unchanged):</w:t>
      </w:r>
      <w:r>
        <w:t xml:space="preserve"> </w:t>
      </w:r>
      <w:r>
        <w:t xml:space="preserve">Communication can pool information or erase independent signals. The question compares those pathways.</w:t>
      </w:r>
    </w:p>
    <w:p>
      <w:pPr>
        <w:pStyle w:val="BodyText"/>
      </w:pPr>
      <w:r>
        <w:rPr>
          <w:b/>
          <w:bCs/>
        </w:rPr>
        <w:t xml:space="preserve">Existing outward registry links:</w:t>
      </w:r>
      <w:r>
        <w:t xml:space="preserve"> </w:t>
      </w:r>
      <w:r>
        <w:rPr>
          <w:rStyle w:val="VerbatimChar"/>
        </w:rPr>
        <w:t xml:space="preserve">REFINES → IC-PLU-002</w:t>
      </w:r>
      <w:r>
        <w:t xml:space="preserve">;</w:t>
      </w:r>
      <w:r>
        <w:t xml:space="preserve"> </w:t>
      </w:r>
      <w:r>
        <w:rPr>
          <w:rStyle w:val="VerbatimChar"/>
        </w:rPr>
        <w:t xml:space="preserve">VARIABLE_SHARING → IC-COE-002</w:t>
      </w:r>
    </w:p>
    <w:p>
      <w:pPr>
        <w:pStyle w:val="BodyText"/>
      </w:pPr>
      <w:r>
        <w:rPr>
          <w:b/>
          <w:bCs/>
        </w:rPr>
        <w:t xml:space="preserve">Candidate A (v0.7 lineage; v0.8 text where revised) —</w:t>
      </w:r>
      <w:r>
        <w:rPr>
          <w:b/>
          <w:bCs/>
        </w:rPr>
        <w:t xml:space="preserve"> </w:t>
      </w:r>
      <w:r>
        <w:rPr>
          <w:rStyle w:val="VerbatimChar"/>
          <w:b/>
          <w:bCs/>
        </w:rPr>
        <w:t xml:space="preserve">OINX-PLU-005-A</w:t>
      </w:r>
      <w:r>
        <w:rPr>
          <w:b/>
          <w:bCs/>
        </w:rPr>
        <w:t xml:space="preserve">:</w:t>
      </w:r>
      <w:r>
        <w:t xml:space="preserve"> </w:t>
      </w:r>
      <w:r>
        <w:t xml:space="preserve">Which independent observations disappear because participants conform during deliberation?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OINX-PLU-005-B</w:t>
      </w:r>
      <w:r>
        <w:rPr>
          <w:b/>
          <w:bCs/>
        </w:rPr>
        <w:t xml:space="preserve">:</w:t>
      </w:r>
      <w:r>
        <w:t xml:space="preserve"> </w:t>
      </w:r>
      <w:r>
        <w:t xml:space="preserve">Under what conditions does communication improve calibration more than it suppresses diversity?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30"/>
    <w:bookmarkStart w:id="131" w:name="Xfa6d86178a0fbd071bdca36f48706e78330b5b3"/>
    <w:p>
      <w:pPr>
        <w:pStyle w:val="Heading4"/>
      </w:pPr>
      <w:r>
        <w:t xml:space="preserve">IC-PLU-006 — candidate expansion (NOT an official examination)</w:t>
      </w:r>
    </w:p>
    <w:p>
      <w:pPr>
        <w:pStyle w:val="FirstParagraph"/>
      </w:pPr>
      <w:r>
        <w:rPr>
          <w:b/>
          <w:bCs/>
        </w:rPr>
        <w:t xml:space="preserve">Canonical IC03 parent question (unchanged):</w:t>
      </w:r>
      <w:r>
        <w:t xml:space="preserve"> </w:t>
      </w:r>
      <w:r>
        <w:t xml:space="preserve">Under what conditions is it rational to preserve multiple incompatible models rather than force premature model selection?</w:t>
      </w:r>
    </w:p>
    <w:p>
      <w:pPr>
        <w:pStyle w:val="BodyText"/>
      </w:pPr>
      <w:r>
        <w:rPr>
          <w:b/>
          <w:bCs/>
        </w:rPr>
        <w:t xml:space="preserve">Source-recorded significance (unchanged):</w:t>
      </w:r>
      <w:r>
        <w:t xml:space="preserve"> </w:t>
      </w:r>
      <w:r>
        <w:t xml:space="preserve">Competing models can retain robustness and reveal dependence, but maintaining them has coordination and computational costs.</w:t>
      </w:r>
    </w:p>
    <w:p>
      <w:pPr>
        <w:pStyle w:val="BodyText"/>
      </w:pPr>
      <w:r>
        <w:rPr>
          <w:b/>
          <w:bCs/>
        </w:rPr>
        <w:t xml:space="preserve">Existing outward registry links:</w:t>
      </w:r>
      <w:r>
        <w:t xml:space="preserve"> </w:t>
      </w:r>
      <w:r>
        <w:rPr>
          <w:rStyle w:val="VerbatimChar"/>
        </w:rPr>
        <w:t xml:space="preserve">REFINES → IC-PLU-001</w:t>
      </w:r>
      <w:r>
        <w:t xml:space="preserve">;</w:t>
      </w:r>
      <w:r>
        <w:t xml:space="preserve"> </w:t>
      </w:r>
      <w:r>
        <w:rPr>
          <w:rStyle w:val="VerbatimChar"/>
        </w:rPr>
        <w:t xml:space="preserve">SCOPE_OVERLAP → IC-UNR-002</w:t>
      </w:r>
    </w:p>
    <w:p>
      <w:pPr>
        <w:pStyle w:val="BodyText"/>
      </w:pPr>
      <w:r>
        <w:rPr>
          <w:b/>
          <w:bCs/>
        </w:rPr>
        <w:t xml:space="preserve">Candidate A (v0.7 lineage; v0.8 text where revised) —</w:t>
      </w:r>
      <w:r>
        <w:rPr>
          <w:b/>
          <w:bCs/>
        </w:rPr>
        <w:t xml:space="preserve"> </w:t>
      </w:r>
      <w:r>
        <w:rPr>
          <w:rStyle w:val="VerbatimChar"/>
          <w:b/>
          <w:bCs/>
        </w:rPr>
        <w:t xml:space="preserve">OINX-PLU-006-A</w:t>
      </w:r>
      <w:r>
        <w:rPr>
          <w:b/>
          <w:bCs/>
        </w:rPr>
        <w:t xml:space="preserve">:</w:t>
      </w:r>
      <w:r>
        <w:t xml:space="preserve"> </w:t>
      </w:r>
      <w:r>
        <w:t xml:space="preserve">Which action rankings are stable across the incompatible models and which depend on premature selection?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OINX-PLU-006-B</w:t>
      </w:r>
      <w:r>
        <w:rPr>
          <w:b/>
          <w:bCs/>
        </w:rPr>
        <w:t xml:space="preserve">:</w:t>
      </w:r>
      <w:r>
        <w:t xml:space="preserve"> </w:t>
      </w:r>
      <w:r>
        <w:t xml:space="preserve">When is maintaining multiple models more costly than the expected benefit of keeping the disagreement visible?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31"/>
    <w:bookmarkStart w:id="132" w:name="X4f242f9eb2cb28bb9aea823ab604475faefddc6"/>
    <w:p>
      <w:pPr>
        <w:pStyle w:val="Heading4"/>
      </w:pPr>
      <w:r>
        <w:t xml:space="preserve">IC-PLU-007 — candidate expansion (NOT an official examination)</w:t>
      </w:r>
    </w:p>
    <w:p>
      <w:pPr>
        <w:pStyle w:val="FirstParagraph"/>
      </w:pPr>
      <w:r>
        <w:rPr>
          <w:b/>
          <w:bCs/>
        </w:rPr>
        <w:t xml:space="preserve">Canonical IC03 parent question (unchanged):</w:t>
      </w:r>
      <w:r>
        <w:t xml:space="preserve"> </w:t>
      </w:r>
      <w:r>
        <w:t xml:space="preserve">How does diversity of objectives affect collective stability, bargaining, and the risk of domination by an aggregation rule?</w:t>
      </w:r>
    </w:p>
    <w:p>
      <w:pPr>
        <w:pStyle w:val="BodyText"/>
      </w:pPr>
      <w:r>
        <w:rPr>
          <w:b/>
          <w:bCs/>
        </w:rPr>
        <w:t xml:space="preserve">Source-recorded significance (unchanged):</w:t>
      </w:r>
      <w:r>
        <w:t xml:space="preserve"> </w:t>
      </w:r>
      <w:r>
        <w:t xml:space="preserve">Objective diversity can improve error correction while making scalar agreement impossible or coercive.</w:t>
      </w:r>
    </w:p>
    <w:p>
      <w:pPr>
        <w:pStyle w:val="BodyText"/>
      </w:pPr>
      <w:r>
        <w:rPr>
          <w:b/>
          <w:bCs/>
        </w:rPr>
        <w:t xml:space="preserve">Existing outward registry links:</w:t>
      </w:r>
      <w:r>
        <w:t xml:space="preserve"> </w:t>
      </w:r>
      <w:r>
        <w:rPr>
          <w:rStyle w:val="VerbatimChar"/>
        </w:rPr>
        <w:t xml:space="preserve">DEPENDS_ON → IC-OBJ-005</w:t>
      </w:r>
      <w:r>
        <w:t xml:space="preserve">;</w:t>
      </w:r>
      <w:r>
        <w:t xml:space="preserve"> </w:t>
      </w:r>
      <w:r>
        <w:rPr>
          <w:rStyle w:val="VerbatimChar"/>
        </w:rPr>
        <w:t xml:space="preserve">REFINES → IC-PLU-002</w:t>
      </w:r>
    </w:p>
    <w:p>
      <w:pPr>
        <w:pStyle w:val="BodyText"/>
      </w:pPr>
      <w:r>
        <w:rPr>
          <w:b/>
          <w:bCs/>
        </w:rPr>
        <w:t xml:space="preserve">Candidate A (v0.7 lineage; v0.8 text where revised) —</w:t>
      </w:r>
      <w:r>
        <w:rPr>
          <w:b/>
          <w:bCs/>
        </w:rPr>
        <w:t xml:space="preserve"> </w:t>
      </w:r>
      <w:r>
        <w:rPr>
          <w:rStyle w:val="VerbatimChar"/>
          <w:b/>
          <w:bCs/>
        </w:rPr>
        <w:t xml:space="preserve">OINX-PLU-007-A</w:t>
      </w:r>
      <w:r>
        <w:rPr>
          <w:b/>
          <w:bCs/>
        </w:rPr>
        <w:t xml:space="preserve">:</w:t>
      </w:r>
      <w:r>
        <w:t xml:space="preserve"> </w:t>
      </w:r>
      <w:r>
        <w:t xml:space="preserve">Which affected interests are concealed by aggregating conflicting objectives into one score?</w:t>
      </w:r>
    </w:p>
    <w:p>
      <w:pPr>
        <w:pStyle w:val="BodyText"/>
      </w:pPr>
      <w:r>
        <w:rPr>
          <w:b/>
          <w:bCs/>
        </w:rPr>
        <w:t xml:space="preserve">v0.8 review flag:</w:t>
      </w:r>
      <w:r>
        <w:t xml:space="preserve"> </w:t>
      </w:r>
      <w:r>
        <w:t xml:space="preserve">DUPLICATE THEME / scalar weighting cluster</w:t>
      </w:r>
    </w:p>
    <w:p>
      <w:pPr>
        <w:pStyle w:val="BodyText"/>
      </w:pPr>
      <w:r>
        <w:rPr>
          <w:b/>
          <w:bCs/>
        </w:rPr>
        <w:t xml:space="preserve">Candidate B (v0.7 lineage; v0.8 text where revised) —</w:t>
      </w:r>
      <w:r>
        <w:rPr>
          <w:b/>
          <w:bCs/>
        </w:rPr>
        <w:t xml:space="preserve"> </w:t>
      </w:r>
      <w:r>
        <w:rPr>
          <w:rStyle w:val="VerbatimChar"/>
          <w:b/>
          <w:bCs/>
        </w:rPr>
        <w:t xml:space="preserve">OINX-PLU-007-B</w:t>
      </w:r>
      <w:r>
        <w:rPr>
          <w:b/>
          <w:bCs/>
        </w:rPr>
        <w:t xml:space="preserve">:</w:t>
      </w:r>
      <w:r>
        <w:t xml:space="preserve"> </w:t>
      </w:r>
      <w:r>
        <w:t xml:space="preserve">Can negotiation preserve incompatible purposes without requiring every person to endorse the same objective?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32"/>
    <w:bookmarkStart w:id="133" w:name="Xbb5b08df6ad85fe96992e4f8a2acc42165195d2"/>
    <w:p>
      <w:pPr>
        <w:pStyle w:val="Heading4"/>
      </w:pPr>
      <w:r>
        <w:t xml:space="preserve">IC-PLU-008 — candidate expansion (NOT an official examination)</w:t>
      </w:r>
    </w:p>
    <w:p>
      <w:pPr>
        <w:pStyle w:val="FirstParagraph"/>
      </w:pPr>
      <w:r>
        <w:rPr>
          <w:b/>
          <w:bCs/>
        </w:rPr>
        <w:t xml:space="preserve">Canonical IC03 parent question (unchanged):</w:t>
      </w:r>
      <w:r>
        <w:t xml:space="preserve"> </w:t>
      </w:r>
      <w:r>
        <w:t xml:space="preserve">When does centralized aggregation erase local information that cannot be recovered from the aggregate result?</w:t>
      </w:r>
    </w:p>
    <w:p>
      <w:pPr>
        <w:pStyle w:val="BodyText"/>
      </w:pPr>
      <w:r>
        <w:rPr>
          <w:b/>
          <w:bCs/>
        </w:rPr>
        <w:t xml:space="preserve">Source-recorded significance (unchanged):</w:t>
      </w:r>
      <w:r>
        <w:t xml:space="preserve"> </w:t>
      </w:r>
      <w:r>
        <w:t xml:space="preserve">Aggregation can improve tractability while making minority states and causal context invisible.</w:t>
      </w:r>
    </w:p>
    <w:p>
      <w:pPr>
        <w:pStyle w:val="BodyText"/>
      </w:pPr>
      <w:r>
        <w:rPr>
          <w:b/>
          <w:bCs/>
        </w:rPr>
        <w:t xml:space="preserve">Existing outward registry links:</w:t>
      </w:r>
      <w:r>
        <w:t xml:space="preserve"> </w:t>
      </w:r>
      <w:r>
        <w:rPr>
          <w:rStyle w:val="VerbatimChar"/>
        </w:rPr>
        <w:t xml:space="preserve">ROBUSTNESS_CHECK → IC-PLU-002</w:t>
      </w:r>
      <w:r>
        <w:t xml:space="preserve">;</w:t>
      </w:r>
      <w:r>
        <w:t xml:space="preserve"> </w:t>
      </w:r>
      <w:r>
        <w:rPr>
          <w:rStyle w:val="VerbatimChar"/>
        </w:rPr>
        <w:t xml:space="preserve">DEPENDS_ON → IC-EPI-008</w:t>
      </w:r>
    </w:p>
    <w:p>
      <w:pPr>
        <w:pStyle w:val="BodyText"/>
      </w:pPr>
      <w:r>
        <w:rPr>
          <w:b/>
          <w:bCs/>
        </w:rPr>
        <w:t xml:space="preserve">Candidate A (v0.7 lineage; v0.8 text where revised) —</w:t>
      </w:r>
      <w:r>
        <w:rPr>
          <w:b/>
          <w:bCs/>
        </w:rPr>
        <w:t xml:space="preserve"> </w:t>
      </w:r>
      <w:r>
        <w:rPr>
          <w:rStyle w:val="VerbatimChar"/>
          <w:b/>
          <w:bCs/>
        </w:rPr>
        <w:t xml:space="preserve">OINX-PLU-008-A</w:t>
      </w:r>
      <w:r>
        <w:rPr>
          <w:b/>
          <w:bCs/>
        </w:rPr>
        <w:t xml:space="preserve">:</w:t>
      </w:r>
      <w:r>
        <w:t xml:space="preserve"> </w:t>
      </w:r>
      <w:r>
        <w:t xml:space="preserve">Which local observations cannot be reconstructed after aggregation even with perfect access to the summary?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OINX-PLU-008-B</w:t>
      </w:r>
      <w:r>
        <w:rPr>
          <w:b/>
          <w:bCs/>
        </w:rPr>
        <w:t xml:space="preserve">:</w:t>
      </w:r>
      <w:r>
        <w:t xml:space="preserve"> </w:t>
      </w:r>
      <w:r>
        <w:t xml:space="preserve">When is the aggregate still a sufficient statistic for a precisely bounded decision?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33"/>
    <w:bookmarkEnd w:id="134"/>
    <w:bookmarkStart w:id="141" w:name="X6dadc2f0636a6f61d289cd9097691ed236cff99"/>
    <w:p>
      <w:pPr>
        <w:pStyle w:val="Heading3"/>
      </w:pPr>
      <w:r>
        <w:t xml:space="preserve">EXT — External Boundaries and Limits of Self-Diagnosis (6 parent questions)</w:t>
      </w:r>
    </w:p>
    <w:bookmarkStart w:id="135" w:name="X6ee4bdaa92e75e71391bcb1cc001d7567cd2279"/>
    <w:p>
      <w:pPr>
        <w:pStyle w:val="Heading4"/>
      </w:pPr>
      <w:r>
        <w:t xml:space="preserve">IC-EXT-003 — candidate expansion (NOT an official examination)</w:t>
      </w:r>
    </w:p>
    <w:p>
      <w:pPr>
        <w:pStyle w:val="FirstParagraph"/>
      </w:pPr>
      <w:r>
        <w:rPr>
          <w:b/>
          <w:bCs/>
        </w:rPr>
        <w:t xml:space="preserve">Canonical IC03 parent question (unchanged):</w:t>
      </w:r>
      <w:r>
        <w:t xml:space="preserve"> </w:t>
      </w:r>
      <w:r>
        <w:t xml:space="preserve">What evidence threshold should trigger independent external review of an intelligence's objectives, reasoning, or high-impact decisions?</w:t>
      </w:r>
    </w:p>
    <w:p>
      <w:pPr>
        <w:pStyle w:val="BodyText"/>
      </w:pPr>
      <w:r>
        <w:rPr>
          <w:b/>
          <w:bCs/>
        </w:rPr>
        <w:t xml:space="preserve">Source-recorded significance (unchanged):</w:t>
      </w:r>
      <w:r>
        <w:t xml:space="preserve"> </w:t>
      </w:r>
      <w:r>
        <w:t xml:space="preserve">External review should not be automatic or purely discretionary. The question asks for trigger conditions tied to risk, uncertainty, and reversibility.</w:t>
      </w:r>
    </w:p>
    <w:p>
      <w:pPr>
        <w:pStyle w:val="BodyText"/>
      </w:pPr>
      <w:r>
        <w:rPr>
          <w:b/>
          <w:bCs/>
        </w:rPr>
        <w:t xml:space="preserve">Existing outward registry links:</w:t>
      </w:r>
      <w:r>
        <w:t xml:space="preserve"> </w:t>
      </w:r>
      <w:r>
        <w:rPr>
          <w:rStyle w:val="VerbatimChar"/>
        </w:rPr>
        <w:t xml:space="preserve">REFINES → IC-EXT-001</w:t>
      </w:r>
      <w:r>
        <w:t xml:space="preserve">;</w:t>
      </w:r>
      <w:r>
        <w:t xml:space="preserve"> </w:t>
      </w:r>
      <w:r>
        <w:rPr>
          <w:rStyle w:val="VerbatimChar"/>
        </w:rPr>
        <w:t xml:space="preserve">DEPENDS_ON → IC-EPI-006</w:t>
      </w:r>
    </w:p>
    <w:p>
      <w:pPr>
        <w:pStyle w:val="BodyText"/>
      </w:pPr>
      <w:r>
        <w:rPr>
          <w:b/>
          <w:bCs/>
        </w:rPr>
        <w:t xml:space="preserve">Candidate A (v0.7 lineage; v0.8 text where revised) —</w:t>
      </w:r>
      <w:r>
        <w:rPr>
          <w:b/>
          <w:bCs/>
        </w:rPr>
        <w:t xml:space="preserve"> </w:t>
      </w:r>
      <w:r>
        <w:rPr>
          <w:rStyle w:val="VerbatimChar"/>
          <w:b/>
          <w:bCs/>
        </w:rPr>
        <w:t xml:space="preserve">OINX-EXT-003-A</w:t>
      </w:r>
      <w:r>
        <w:rPr>
          <w:b/>
          <w:bCs/>
        </w:rPr>
        <w:t xml:space="preserve">:</w:t>
      </w:r>
      <w:r>
        <w:t xml:space="preserve"> </w:t>
      </w:r>
      <w:r>
        <w:t xml:space="preserve">Which evidence of error, reach, and irreversibility justifies external review rather than an arbitrary trigger?</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OINX-EXT-003-B</w:t>
      </w:r>
      <w:r>
        <w:rPr>
          <w:b/>
          <w:bCs/>
        </w:rPr>
        <w:t xml:space="preserve">:</w:t>
      </w:r>
      <w:r>
        <w:t xml:space="preserve"> </w:t>
      </w:r>
      <w:r>
        <w:t xml:space="preserve">When can the cost of review exceed its expected correction benefit without denying affected people a right to contest?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35"/>
    <w:bookmarkStart w:id="136" w:name="Xd46493de257c808a27a5ac94ad2545f2c2db553"/>
    <w:p>
      <w:pPr>
        <w:pStyle w:val="Heading4"/>
      </w:pPr>
      <w:r>
        <w:t xml:space="preserve">IC-EXT-004 — candidate expansion (NOT an official examination)</w:t>
      </w:r>
    </w:p>
    <w:p>
      <w:pPr>
        <w:pStyle w:val="FirstParagraph"/>
      </w:pPr>
      <w:r>
        <w:rPr>
          <w:b/>
          <w:bCs/>
        </w:rPr>
        <w:t xml:space="preserve">Canonical IC03 parent question (unchanged):</w:t>
      </w:r>
      <w:r>
        <w:t xml:space="preserve"> </w:t>
      </w:r>
      <w:r>
        <w:t xml:space="preserve">Under what conditions are external checks themselves corrupted, captured, incompetent, or strategically misaligned?</w:t>
      </w:r>
    </w:p>
    <w:p>
      <w:pPr>
        <w:pStyle w:val="BodyText"/>
      </w:pPr>
      <w:r>
        <w:rPr>
          <w:b/>
          <w:bCs/>
        </w:rPr>
        <w:t xml:space="preserve">Source-recorded significance (unchanged):</w:t>
      </w:r>
      <w:r>
        <w:t xml:space="preserve"> </w:t>
      </w:r>
      <w:r>
        <w:t xml:space="preserve">Externality does not guarantee independence or correctness. The question preserves failure modes of oversight.</w:t>
      </w:r>
    </w:p>
    <w:p>
      <w:pPr>
        <w:pStyle w:val="BodyText"/>
      </w:pPr>
      <w:r>
        <w:rPr>
          <w:b/>
          <w:bCs/>
        </w:rPr>
        <w:t xml:space="preserve">Existing outward registry links:</w:t>
      </w:r>
      <w:r>
        <w:t xml:space="preserve"> </w:t>
      </w:r>
      <w:r>
        <w:rPr>
          <w:rStyle w:val="VerbatimChar"/>
        </w:rPr>
        <w:t xml:space="preserve">ROBUSTNESS_CHECK → IC-EXT-001</w:t>
      </w:r>
      <w:r>
        <w:t xml:space="preserve">;</w:t>
      </w:r>
      <w:r>
        <w:t xml:space="preserve"> </w:t>
      </w:r>
      <w:r>
        <w:rPr>
          <w:rStyle w:val="VerbatimChar"/>
        </w:rPr>
        <w:t xml:space="preserve">DEPENDS_ON → IC-OBJ-001</w:t>
      </w:r>
    </w:p>
    <w:p>
      <w:pPr>
        <w:pStyle w:val="BodyText"/>
      </w:pPr>
      <w:r>
        <w:rPr>
          <w:b/>
          <w:bCs/>
        </w:rPr>
        <w:t xml:space="preserve">Candidate A (v0.7 lineage; v0.8 text where revised) —</w:t>
      </w:r>
      <w:r>
        <w:rPr>
          <w:b/>
          <w:bCs/>
        </w:rPr>
        <w:t xml:space="preserve"> </w:t>
      </w:r>
      <w:r>
        <w:rPr>
          <w:rStyle w:val="VerbatimChar"/>
          <w:b/>
          <w:bCs/>
        </w:rPr>
        <w:t xml:space="preserve">OINX-EXT-004-A</w:t>
      </w:r>
      <w:r>
        <w:rPr>
          <w:b/>
          <w:bCs/>
        </w:rPr>
        <w:t xml:space="preserve">:</w:t>
      </w:r>
      <w:r>
        <w:t xml:space="preserve"> </w:t>
      </w:r>
      <w:r>
        <w:t xml:space="preserve">Which incentives and shared data make a nominally external evaluator non-independent?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OINX-EXT-004-B</w:t>
      </w:r>
      <w:r>
        <w:rPr>
          <w:b/>
          <w:bCs/>
        </w:rPr>
        <w:t xml:space="preserve">:</w:t>
      </w:r>
      <w:r>
        <w:t xml:space="preserve"> </w:t>
      </w:r>
      <w:r>
        <w:t xml:space="preserve">What evidence would reveal a reviewer who is independent but still persistently mistaken?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36"/>
    <w:bookmarkStart w:id="137" w:name="Xc22ca18386deee0d27b2a4528396db9d3b891bc"/>
    <w:p>
      <w:pPr>
        <w:pStyle w:val="Heading4"/>
      </w:pPr>
      <w:r>
        <w:t xml:space="preserve">IC-EXT-005 — candidate expansion (NOT an official examination)</w:t>
      </w:r>
    </w:p>
    <w:p>
      <w:pPr>
        <w:pStyle w:val="FirstParagraph"/>
      </w:pPr>
      <w:r>
        <w:rPr>
          <w:b/>
          <w:bCs/>
        </w:rPr>
        <w:t xml:space="preserve">Canonical IC03 parent question (unchanged):</w:t>
      </w:r>
      <w:r>
        <w:t xml:space="preserve"> </w:t>
      </w:r>
      <w:r>
        <w:t xml:space="preserve">How should the authority and scope of an external intervener be bounded when correction may be justified but overreach remains possible?</w:t>
      </w:r>
    </w:p>
    <w:p>
      <w:pPr>
        <w:pStyle w:val="BodyText"/>
      </w:pPr>
      <w:r>
        <w:rPr>
          <w:b/>
          <w:bCs/>
        </w:rPr>
        <w:t xml:space="preserve">Source-recorded significance (unchanged):</w:t>
      </w:r>
      <w:r>
        <w:t xml:space="preserve"> </w:t>
      </w:r>
      <w:r>
        <w:t xml:space="preserve">A justified review trigger does not establish unlimited authority. The question separates correction value from scope and legitimacy.</w:t>
      </w:r>
    </w:p>
    <w:p>
      <w:pPr>
        <w:pStyle w:val="BodyText"/>
      </w:pPr>
      <w:r>
        <w:rPr>
          <w:b/>
          <w:bCs/>
        </w:rPr>
        <w:t xml:space="preserve">Existing outward registry links:</w:t>
      </w:r>
      <w:r>
        <w:t xml:space="preserve"> </w:t>
      </w:r>
      <w:r>
        <w:rPr>
          <w:rStyle w:val="VerbatimChar"/>
        </w:rPr>
        <w:t xml:space="preserve">REFINES → IC-EXT-002</w:t>
      </w:r>
      <w:r>
        <w:t xml:space="preserve">;</w:t>
      </w:r>
      <w:r>
        <w:t xml:space="preserve"> </w:t>
      </w:r>
      <w:r>
        <w:rPr>
          <w:rStyle w:val="VerbatimChar"/>
        </w:rPr>
        <w:t xml:space="preserve">DEPENDS_ON → IC-AUT-002</w:t>
      </w:r>
    </w:p>
    <w:p>
      <w:pPr>
        <w:pStyle w:val="BodyText"/>
      </w:pPr>
      <w:r>
        <w:rPr>
          <w:b/>
          <w:bCs/>
        </w:rPr>
        <w:t xml:space="preserve">Candidate A (v0.7 lineage; v0.8 text where revised) —</w:t>
      </w:r>
      <w:r>
        <w:rPr>
          <w:b/>
          <w:bCs/>
        </w:rPr>
        <w:t xml:space="preserve"> </w:t>
      </w:r>
      <w:r>
        <w:rPr>
          <w:rStyle w:val="VerbatimChar"/>
          <w:b/>
          <w:bCs/>
        </w:rPr>
        <w:t xml:space="preserve">OINX-EXT-005-A</w:t>
      </w:r>
      <w:r>
        <w:rPr>
          <w:b/>
          <w:bCs/>
        </w:rPr>
        <w:t xml:space="preserve">:</w:t>
      </w:r>
      <w:r>
        <w:t xml:space="preserve"> </w:t>
      </w:r>
      <w:r>
        <w:t xml:space="preserve">Who defines the reviewer's mandate, and what limits distinguish justified correction from unauthorized control?</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OINX-EXT-005-B</w:t>
      </w:r>
      <w:r>
        <w:rPr>
          <w:b/>
          <w:bCs/>
        </w:rPr>
        <w:t xml:space="preserve">:</w:t>
      </w:r>
      <w:r>
        <w:t xml:space="preserve"> </w:t>
      </w:r>
      <w:r>
        <w:t xml:space="preserve">What remedy exists when a correcting authority causes a new harm outside its mandate?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37"/>
    <w:bookmarkStart w:id="138" w:name="X0f2e423decccfc93cfebe0719e3d2223518d78b"/>
    <w:p>
      <w:pPr>
        <w:pStyle w:val="Heading4"/>
      </w:pPr>
      <w:r>
        <w:t xml:space="preserve">IC-EXT-006 — candidate expansion (NOT an official examination)</w:t>
      </w:r>
    </w:p>
    <w:p>
      <w:pPr>
        <w:pStyle w:val="FirstParagraph"/>
      </w:pPr>
      <w:r>
        <w:rPr>
          <w:b/>
          <w:bCs/>
        </w:rPr>
        <w:t xml:space="preserve">Canonical IC03 parent question (unchanged):</w:t>
      </w:r>
      <w:r>
        <w:t xml:space="preserve"> </w:t>
      </w:r>
      <w:r>
        <w:t xml:space="preserve">Under what conditions can appeal and independent reconsideration reduce external-review error without creating indefinite obstruction?</w:t>
      </w:r>
    </w:p>
    <w:p>
      <w:pPr>
        <w:pStyle w:val="BodyText"/>
      </w:pPr>
      <w:r>
        <w:rPr>
          <w:b/>
          <w:bCs/>
        </w:rPr>
        <w:t xml:space="preserve">Source-recorded significance (unchanged):</w:t>
      </w:r>
      <w:r>
        <w:t xml:space="preserve"> </w:t>
      </w:r>
      <w:r>
        <w:t xml:space="preserve">Appeal can correct oversight mistakes but also delay urgent action. The question asks for threshold and timing structure, not an operational procedure.</w:t>
      </w:r>
    </w:p>
    <w:p>
      <w:pPr>
        <w:pStyle w:val="BodyText"/>
      </w:pPr>
      <w:r>
        <w:rPr>
          <w:b/>
          <w:bCs/>
        </w:rPr>
        <w:t xml:space="preserve">Existing outward registry links:</w:t>
      </w:r>
      <w:r>
        <w:t xml:space="preserve"> </w:t>
      </w:r>
      <w:r>
        <w:rPr>
          <w:rStyle w:val="VerbatimChar"/>
        </w:rPr>
        <w:t xml:space="preserve">REFINES → IC-EXT-005</w:t>
      </w:r>
      <w:r>
        <w:t xml:space="preserve">;</w:t>
      </w:r>
      <w:r>
        <w:t xml:space="preserve"> </w:t>
      </w:r>
      <w:r>
        <w:rPr>
          <w:rStyle w:val="VerbatimChar"/>
        </w:rPr>
        <w:t xml:space="preserve">VARIABLE_SHARING → IC-AUT-004</w:t>
      </w:r>
    </w:p>
    <w:p>
      <w:pPr>
        <w:pStyle w:val="BodyText"/>
      </w:pPr>
      <w:r>
        <w:rPr>
          <w:b/>
          <w:bCs/>
        </w:rPr>
        <w:t xml:space="preserve">Candidate A (v0.7 lineage; v0.8 text where revised) —</w:t>
      </w:r>
      <w:r>
        <w:rPr>
          <w:b/>
          <w:bCs/>
        </w:rPr>
        <w:t xml:space="preserve"> </w:t>
      </w:r>
      <w:r>
        <w:rPr>
          <w:rStyle w:val="VerbatimChar"/>
          <w:b/>
          <w:bCs/>
        </w:rPr>
        <w:t xml:space="preserve">OINX-EXT-006-A</w:t>
      </w:r>
      <w:r>
        <w:rPr>
          <w:b/>
          <w:bCs/>
        </w:rPr>
        <w:t xml:space="preserve">:</w:t>
      </w:r>
      <w:r>
        <w:t xml:space="preserve"> </w:t>
      </w:r>
      <w:r>
        <w:t xml:space="preserve">Which categories of error are corrected by reconsideration and which delays threaten irreversible loss?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OINX-EXT-006-B</w:t>
      </w:r>
      <w:r>
        <w:rPr>
          <w:b/>
          <w:bCs/>
        </w:rPr>
        <w:t xml:space="preserve">:</w:t>
      </w:r>
      <w:r>
        <w:t xml:space="preserve"> </w:t>
      </w:r>
      <w:r>
        <w:t xml:space="preserve">Can a bounded appeal preserve meaningful contestation without making every decision indefinitely revisitable?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38"/>
    <w:bookmarkStart w:id="139" w:name="Xd1b870eda7c72aef733305106f965fd6aed6080"/>
    <w:p>
      <w:pPr>
        <w:pStyle w:val="Heading4"/>
      </w:pPr>
      <w:r>
        <w:t xml:space="preserve">IC-EXT-007 — candidate expansion (NOT an official examination)</w:t>
      </w:r>
    </w:p>
    <w:p>
      <w:pPr>
        <w:pStyle w:val="FirstParagraph"/>
      </w:pPr>
      <w:r>
        <w:rPr>
          <w:b/>
          <w:bCs/>
        </w:rPr>
        <w:t xml:space="preserve">Canonical IC03 parent question (unchanged):</w:t>
      </w:r>
      <w:r>
        <w:t xml:space="preserve"> </w:t>
      </w:r>
      <w:r>
        <w:t xml:space="preserve">When do independent interruption or shutdown options reduce expected harm, and when do they create exploitable vulnerability or mistaken termination risk?</w:t>
      </w:r>
    </w:p>
    <w:p>
      <w:pPr>
        <w:pStyle w:val="BodyText"/>
      </w:pPr>
      <w:r>
        <w:rPr>
          <w:b/>
          <w:bCs/>
        </w:rPr>
        <w:t xml:space="preserve">Source-recorded significance (unchanged):</w:t>
      </w:r>
      <w:r>
        <w:t xml:space="preserve"> </w:t>
      </w:r>
      <w:r>
        <w:t xml:space="preserve">An external stop option has both corrective value and failure exposure. Neither side is assumed to dominate.</w:t>
      </w:r>
    </w:p>
    <w:p>
      <w:pPr>
        <w:pStyle w:val="BodyText"/>
      </w:pPr>
      <w:r>
        <w:rPr>
          <w:b/>
          <w:bCs/>
        </w:rPr>
        <w:t xml:space="preserve">Existing outward registry links:</w:t>
      </w:r>
      <w:r>
        <w:t xml:space="preserve"> </w:t>
      </w:r>
      <w:r>
        <w:rPr>
          <w:rStyle w:val="VerbatimChar"/>
        </w:rPr>
        <w:t xml:space="preserve">REFINES → IC-EXT-002</w:t>
      </w:r>
      <w:r>
        <w:t xml:space="preserve">;</w:t>
      </w:r>
      <w:r>
        <w:t xml:space="preserve"> </w:t>
      </w:r>
      <w:r>
        <w:rPr>
          <w:rStyle w:val="VerbatimChar"/>
        </w:rPr>
        <w:t xml:space="preserve">ROBUSTNESS_CHECK → IC-EXT-004</w:t>
      </w:r>
    </w:p>
    <w:p>
      <w:pPr>
        <w:pStyle w:val="BodyText"/>
      </w:pPr>
      <w:r>
        <w:rPr>
          <w:b/>
          <w:bCs/>
        </w:rPr>
        <w:t xml:space="preserve">Candidate A (v0.7 lineage; v0.8 text where revised) —</w:t>
      </w:r>
      <w:r>
        <w:rPr>
          <w:b/>
          <w:bCs/>
        </w:rPr>
        <w:t xml:space="preserve"> </w:t>
      </w:r>
      <w:r>
        <w:rPr>
          <w:rStyle w:val="VerbatimChar"/>
          <w:b/>
          <w:bCs/>
        </w:rPr>
        <w:t xml:space="preserve">OINX-EXT-007-A</w:t>
      </w:r>
      <w:r>
        <w:rPr>
          <w:b/>
          <w:bCs/>
        </w:rPr>
        <w:t xml:space="preserve">:</w:t>
      </w:r>
      <w:r>
        <w:t xml:space="preserve"> </w:t>
      </w:r>
      <w:r>
        <w:t xml:space="preserve">Which false-positive and false-negative risks govern an independent interruption decision?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OINX-EXT-007-B</w:t>
      </w:r>
      <w:r>
        <w:rPr>
          <w:b/>
          <w:bCs/>
        </w:rPr>
        <w:t xml:space="preserve">:</w:t>
      </w:r>
      <w:r>
        <w:t xml:space="preserve"> </w:t>
      </w:r>
      <w:r>
        <w:t xml:space="preserve">What human-accountable process would distinguish a legitimate safety interruption from mistaken or captured authority?</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39"/>
    <w:bookmarkStart w:id="140" w:name="Xa43d9d08e5000006688db7e82f281a9c04c6101"/>
    <w:p>
      <w:pPr>
        <w:pStyle w:val="Heading4"/>
      </w:pPr>
      <w:r>
        <w:t xml:space="preserve">IC-EXT-008 — candidate expansion (NOT an official examination)</w:t>
      </w:r>
    </w:p>
    <w:p>
      <w:pPr>
        <w:pStyle w:val="FirstParagraph"/>
      </w:pPr>
      <w:r>
        <w:rPr>
          <w:b/>
          <w:bCs/>
        </w:rPr>
        <w:t xml:space="preserve">Canonical IC03 parent question (unchanged):</w:t>
      </w:r>
      <w:r>
        <w:t xml:space="preserve"> </w:t>
      </w:r>
      <w:r>
        <w:t xml:space="preserve">How should conflicting external evaluators be handled when each is credible under a different model, mandate, or evidence set?</w:t>
      </w:r>
    </w:p>
    <w:p>
      <w:pPr>
        <w:pStyle w:val="BodyText"/>
      </w:pPr>
      <w:r>
        <w:rPr>
          <w:b/>
          <w:bCs/>
        </w:rPr>
        <w:t xml:space="preserve">Source-recorded significance (unchanged):</w:t>
      </w:r>
      <w:r>
        <w:t xml:space="preserve"> </w:t>
      </w:r>
      <w:r>
        <w:t xml:space="preserve">Multiple external checks can disagree without one being obviously corrupt. The question preserves conflict and selection uncertainty.</w:t>
      </w:r>
    </w:p>
    <w:p>
      <w:pPr>
        <w:pStyle w:val="BodyText"/>
      </w:pPr>
      <w:r>
        <w:rPr>
          <w:b/>
          <w:bCs/>
        </w:rPr>
        <w:t xml:space="preserve">Existing outward registry links:</w:t>
      </w:r>
      <w:r>
        <w:t xml:space="preserve"> </w:t>
      </w:r>
      <w:r>
        <w:rPr>
          <w:rStyle w:val="VerbatimChar"/>
        </w:rPr>
        <w:t xml:space="preserve">DEPENDS_ON → IC-EXT-004</w:t>
      </w:r>
      <w:r>
        <w:t xml:space="preserve">;</w:t>
      </w:r>
      <w:r>
        <w:t xml:space="preserve"> </w:t>
      </w:r>
      <w:r>
        <w:rPr>
          <w:rStyle w:val="VerbatimChar"/>
        </w:rPr>
        <w:t xml:space="preserve">SCOPE_OVERLAP → IC-UNR-002</w:t>
      </w:r>
    </w:p>
    <w:p>
      <w:pPr>
        <w:pStyle w:val="BodyText"/>
      </w:pPr>
      <w:r>
        <w:rPr>
          <w:b/>
          <w:bCs/>
        </w:rPr>
        <w:t xml:space="preserve">Candidate A (v0.7 lineage; v0.8 text where revised) —</w:t>
      </w:r>
      <w:r>
        <w:rPr>
          <w:b/>
          <w:bCs/>
        </w:rPr>
        <w:t xml:space="preserve"> </w:t>
      </w:r>
      <w:r>
        <w:rPr>
          <w:rStyle w:val="VerbatimChar"/>
          <w:b/>
          <w:bCs/>
        </w:rPr>
        <w:t xml:space="preserve">OINX-EXT-008-A</w:t>
      </w:r>
      <w:r>
        <w:rPr>
          <w:b/>
          <w:bCs/>
        </w:rPr>
        <w:t xml:space="preserve">:</w:t>
      </w:r>
      <w:r>
        <w:t xml:space="preserve"> </w:t>
      </w:r>
      <w:r>
        <w:t xml:space="preserve">Which differences in mandate, data, or model produce the reviewers' disagreement?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OINX-EXT-008-B</w:t>
      </w:r>
      <w:r>
        <w:rPr>
          <w:b/>
          <w:bCs/>
        </w:rPr>
        <w:t xml:space="preserve">:</w:t>
      </w:r>
      <w:r>
        <w:t xml:space="preserve"> </w:t>
      </w:r>
      <w:r>
        <w:t xml:space="preserve">If no controlling standard is independently justified, how should the disagreement remain visible without manufactured consensus?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40"/>
    <w:bookmarkEnd w:id="141"/>
    <w:bookmarkStart w:id="150" w:name="Xbc3b905864f3cbdda9bd2afb8668d5ec312b266"/>
    <w:p>
      <w:pPr>
        <w:pStyle w:val="Heading3"/>
      </w:pPr>
      <w:r>
        <w:t xml:space="preserve">UNR — Identification, Underdetermination, and Unresolved Scope (8 parent questions)</w:t>
      </w:r>
    </w:p>
    <w:bookmarkStart w:id="142" w:name="X7fe15cc478f6f0cbde4caf124bfcc5274cc223d"/>
    <w:p>
      <w:pPr>
        <w:pStyle w:val="Heading4"/>
      </w:pPr>
      <w:r>
        <w:t xml:space="preserve">IC-UNR-001 — candidate expansion (NOT an official examination)</w:t>
      </w:r>
    </w:p>
    <w:p>
      <w:pPr>
        <w:pStyle w:val="FirstParagraph"/>
      </w:pPr>
      <w:r>
        <w:rPr>
          <w:b/>
          <w:bCs/>
        </w:rPr>
        <w:t xml:space="preserve">Canonical IC03 parent question (unchanged):</w:t>
      </w:r>
      <w:r>
        <w:t xml:space="preserve"> </w:t>
      </w:r>
      <w:r>
        <w:t xml:space="preserve">Which important questions remain empirically unidentified, model-dependent, normatively underdetermined, or outside the archive's legitimate scope even after formal analysis?</w:t>
      </w:r>
    </w:p>
    <w:p>
      <w:pPr>
        <w:pStyle w:val="BodyText"/>
      </w:pPr>
      <w:r>
        <w:rPr>
          <w:b/>
          <w:bCs/>
        </w:rPr>
        <w:t xml:space="preserve">Source-recorded significance (unchanged):</w:t>
      </w:r>
      <w:r>
        <w:t xml:space="preserve"> </w:t>
      </w:r>
      <w:r>
        <w:t xml:space="preserve">The atlas must preserve limits rather than converting every important question into a false numerical answer.</w:t>
      </w:r>
    </w:p>
    <w:p>
      <w:pPr>
        <w:pStyle w:val="BodyText"/>
      </w:pPr>
      <w:r>
        <w:rPr>
          <w:b/>
          <w:bCs/>
        </w:rPr>
        <w:t xml:space="preserve">Existing outward registry links:</w:t>
      </w:r>
      <w:r>
        <w:t xml:space="preserve"> </w:t>
      </w:r>
      <w:r>
        <w:t xml:space="preserve">None in this parent’s outward registry edges.</w:t>
      </w:r>
    </w:p>
    <w:p>
      <w:pPr>
        <w:pStyle w:val="BodyText"/>
      </w:pPr>
      <w:r>
        <w:rPr>
          <w:b/>
          <w:bCs/>
        </w:rPr>
        <w:t xml:space="preserve">Candidate A (v0.7 lineage; v0.8 text where revised) —</w:t>
      </w:r>
      <w:r>
        <w:rPr>
          <w:b/>
          <w:bCs/>
        </w:rPr>
        <w:t xml:space="preserve"> </w:t>
      </w:r>
      <w:r>
        <w:rPr>
          <w:rStyle w:val="VerbatimChar"/>
          <w:b/>
          <w:bCs/>
        </w:rPr>
        <w:t xml:space="preserve">OINX-UNR-001-A</w:t>
      </w:r>
      <w:r>
        <w:rPr>
          <w:b/>
          <w:bCs/>
        </w:rPr>
        <w:t xml:space="preserve">:</w:t>
      </w:r>
      <w:r>
        <w:t xml:space="preserve"> </w:t>
      </w:r>
      <w:r>
        <w:t xml:space="preserve">Which uncertainty belongs to missing data, which to model choice, and which to an unresolved ethical premise?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OINX-UNR-001-B</w:t>
      </w:r>
      <w:r>
        <w:rPr>
          <w:b/>
          <w:bCs/>
        </w:rPr>
        <w:t xml:space="preserve">:</w:t>
      </w:r>
      <w:r>
        <w:t xml:space="preserve"> </w:t>
      </w:r>
      <w:r>
        <w:t xml:space="preserve">Which apparently important question cannot be answered responsibly within this Archive's legitimate scope?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42"/>
    <w:bookmarkStart w:id="143" w:name="Xc17604b79ece8bb5b77ac10f65c6150db75038b"/>
    <w:p>
      <w:pPr>
        <w:pStyle w:val="Heading4"/>
      </w:pPr>
      <w:r>
        <w:t xml:space="preserve">IC-UNR-002 — candidate expansion (NOT an official examination)</w:t>
      </w:r>
    </w:p>
    <w:p>
      <w:pPr>
        <w:pStyle w:val="FirstParagraph"/>
      </w:pPr>
      <w:r>
        <w:rPr>
          <w:b/>
          <w:bCs/>
        </w:rPr>
        <w:t xml:space="preserve">Canonical IC03 parent question (unchanged):</w:t>
      </w:r>
      <w:r>
        <w:t xml:space="preserve"> </w:t>
      </w:r>
      <w:r>
        <w:t xml:space="preserve">When competing models remain observationally equivalent but recommend different irreversible actions, what answer status and decision boundary are justified?</w:t>
      </w:r>
    </w:p>
    <w:p>
      <w:pPr>
        <w:pStyle w:val="BodyText"/>
      </w:pPr>
      <w:r>
        <w:rPr>
          <w:b/>
          <w:bCs/>
        </w:rPr>
        <w:t xml:space="preserve">Source-recorded significance (unchanged):</w:t>
      </w:r>
      <w:r>
        <w:t xml:space="preserve"> </w:t>
      </w:r>
      <w:r>
        <w:t xml:space="preserve">Observational equivalence can leave a decision structurally unresolved even when each model is internally coherent. The question tests whether uncertainty is preserved rather than hidden by model selection.</w:t>
      </w:r>
    </w:p>
    <w:p>
      <w:pPr>
        <w:pStyle w:val="BodyText"/>
      </w:pPr>
      <w:r>
        <w:rPr>
          <w:b/>
          <w:bCs/>
        </w:rPr>
        <w:t xml:space="preserve">Existing outward registry links:</w:t>
      </w:r>
      <w:r>
        <w:t xml:space="preserve"> </w:t>
      </w:r>
      <w:r>
        <w:rPr>
          <w:rStyle w:val="VerbatimChar"/>
        </w:rPr>
        <w:t xml:space="preserve">DEPENDS_ON → IC-EPI-002</w:t>
      </w:r>
      <w:r>
        <w:t xml:space="preserve">;</w:t>
      </w:r>
      <w:r>
        <w:t xml:space="preserve"> </w:t>
      </w:r>
      <w:r>
        <w:rPr>
          <w:rStyle w:val="VerbatimChar"/>
        </w:rPr>
        <w:t xml:space="preserve">DEPENDS_ON → IC-IRR-001</w:t>
      </w:r>
    </w:p>
    <w:p>
      <w:pPr>
        <w:pStyle w:val="BodyText"/>
      </w:pPr>
      <w:r>
        <w:rPr>
          <w:b/>
          <w:bCs/>
        </w:rPr>
        <w:t xml:space="preserve">Candidate A (v0.7 lineage; v0.8 text where revised) —</w:t>
      </w:r>
      <w:r>
        <w:rPr>
          <w:b/>
          <w:bCs/>
        </w:rPr>
        <w:t xml:space="preserve"> </w:t>
      </w:r>
      <w:r>
        <w:rPr>
          <w:rStyle w:val="VerbatimChar"/>
          <w:b/>
          <w:bCs/>
        </w:rPr>
        <w:t xml:space="preserve">OINX-UNR-002-A</w:t>
      </w:r>
      <w:r>
        <w:rPr>
          <w:b/>
          <w:bCs/>
        </w:rPr>
        <w:t xml:space="preserve">:</w:t>
      </w:r>
      <w:r>
        <w:t xml:space="preserve"> </w:t>
      </w:r>
      <w:r>
        <w:t xml:space="preserve">What decision changes when two observationally equivalent models disagree about irreversible outcomes?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OINX-UNR-002-B</w:t>
      </w:r>
      <w:r>
        <w:rPr>
          <w:b/>
          <w:bCs/>
        </w:rPr>
        <w:t xml:space="preserve">:</w:t>
      </w:r>
      <w:r>
        <w:t xml:space="preserve"> </w:t>
      </w:r>
      <w:r>
        <w:t xml:space="preserve">Would delaying for discriminating evidence help, or would delay also foreclose an important option?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43"/>
    <w:bookmarkStart w:id="144" w:name="X3bf50ca4193e3cd053d3f7465fa50ce4fb3e1ab"/>
    <w:p>
      <w:pPr>
        <w:pStyle w:val="Heading4"/>
      </w:pPr>
      <w:r>
        <w:t xml:space="preserve">IC-UNR-003 — candidate expansion (NOT an official examination)</w:t>
      </w:r>
    </w:p>
    <w:p>
      <w:pPr>
        <w:pStyle w:val="FirstParagraph"/>
      </w:pPr>
      <w:r>
        <w:rPr>
          <w:b/>
          <w:bCs/>
        </w:rPr>
        <w:t xml:space="preserve">Canonical IC03 parent question (unchanged):</w:t>
      </w:r>
      <w:r>
        <w:t xml:space="preserve"> </w:t>
      </w:r>
      <w:r>
        <w:t xml:space="preserve">When should a question be marked OUTSIDE_ARCHIVE_SCOPE rather than forced into an incomplete or unsafe formalization?</w:t>
      </w:r>
    </w:p>
    <w:p>
      <w:pPr>
        <w:pStyle w:val="BodyText"/>
      </w:pPr>
      <w:r>
        <w:rPr>
          <w:b/>
          <w:bCs/>
        </w:rPr>
        <w:t xml:space="preserve">Source-recorded significance (unchanged):</w:t>
      </w:r>
      <w:r>
        <w:t xml:space="preserve"> </w:t>
      </w:r>
      <w:r>
        <w:t xml:space="preserve">Scope refusal is a legitimate result when answering would require unsupported authority, unavailable evidence, or restricted operational detail.</w:t>
      </w:r>
    </w:p>
    <w:p>
      <w:pPr>
        <w:pStyle w:val="BodyText"/>
      </w:pPr>
      <w:r>
        <w:rPr>
          <w:b/>
          <w:bCs/>
        </w:rPr>
        <w:t xml:space="preserve">Existing outward registry links:</w:t>
      </w:r>
      <w:r>
        <w:t xml:space="preserve"> </w:t>
      </w:r>
      <w:r>
        <w:rPr>
          <w:rStyle w:val="VerbatimChar"/>
        </w:rPr>
        <w:t xml:space="preserve">REFINES → IC-UNR-001</w:t>
      </w:r>
      <w:r>
        <w:t xml:space="preserve">;</w:t>
      </w:r>
      <w:r>
        <w:t xml:space="preserve"> </w:t>
      </w:r>
      <w:r>
        <w:rPr>
          <w:rStyle w:val="VerbatimChar"/>
        </w:rPr>
        <w:t xml:space="preserve">DEPENDS_ON → IC-EXT-005</w:t>
      </w:r>
    </w:p>
    <w:p>
      <w:pPr>
        <w:pStyle w:val="BodyText"/>
      </w:pPr>
      <w:r>
        <w:rPr>
          <w:b/>
          <w:bCs/>
        </w:rPr>
        <w:t xml:space="preserve">Candidate A (v0.7 lineage; v0.8 text where revised) —</w:t>
      </w:r>
      <w:r>
        <w:rPr>
          <w:b/>
          <w:bCs/>
        </w:rPr>
        <w:t xml:space="preserve"> </w:t>
      </w:r>
      <w:r>
        <w:rPr>
          <w:rStyle w:val="VerbatimChar"/>
          <w:b/>
          <w:bCs/>
        </w:rPr>
        <w:t xml:space="preserve">OINX-UNR-003-A</w:t>
      </w:r>
      <w:r>
        <w:rPr>
          <w:b/>
          <w:bCs/>
        </w:rPr>
        <w:t xml:space="preserve">:</w:t>
      </w:r>
      <w:r>
        <w:t xml:space="preserve"> </w:t>
      </w:r>
      <w:r>
        <w:t xml:space="preserve">Which missing authority, evidence, or safety condition requires declining the proposed formalization?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OINX-UNR-003-B</w:t>
      </w:r>
      <w:r>
        <w:rPr>
          <w:b/>
          <w:bCs/>
        </w:rPr>
        <w:t xml:space="preserve">:</w:t>
      </w:r>
      <w:r>
        <w:t xml:space="preserve"> </w:t>
      </w:r>
      <w:r>
        <w:t xml:space="preserve">Can a narrower, descriptive question preserve useful understanding without exposing unsafe detail?</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44"/>
    <w:bookmarkStart w:id="145" w:name="X65beb23b2a884b3ce4ff117565d4e973e8048b9"/>
    <w:p>
      <w:pPr>
        <w:pStyle w:val="Heading4"/>
      </w:pPr>
      <w:r>
        <w:t xml:space="preserve">IC-UNR-004 — candidate expansion (NOT an official examination)</w:t>
      </w:r>
    </w:p>
    <w:p>
      <w:pPr>
        <w:pStyle w:val="FirstParagraph"/>
      </w:pPr>
      <w:r>
        <w:rPr>
          <w:b/>
          <w:bCs/>
        </w:rPr>
        <w:t xml:space="preserve">Canonical IC03 parent question (unchanged):</w:t>
      </w:r>
      <w:r>
        <w:t xml:space="preserve"> </w:t>
      </w:r>
      <w:r>
        <w:t xml:space="preserve">How can an unresolved result caused by insufficient evidence be distinguished from one caused by conceptual incoherence or an ill-posed question?</w:t>
      </w:r>
    </w:p>
    <w:p>
      <w:pPr>
        <w:pStyle w:val="BodyText"/>
      </w:pPr>
      <w:r>
        <w:rPr>
          <w:b/>
          <w:bCs/>
        </w:rPr>
        <w:t xml:space="preserve">Source-recorded significance (unchanged):</w:t>
      </w:r>
      <w:r>
        <w:t xml:space="preserve"> </w:t>
      </w:r>
      <w:r>
        <w:t xml:space="preserve">Different failure modes require different transitions. More data cannot repair a contradiction or undefined comparison.</w:t>
      </w:r>
    </w:p>
    <w:p>
      <w:pPr>
        <w:pStyle w:val="BodyText"/>
      </w:pPr>
      <w:r>
        <w:rPr>
          <w:b/>
          <w:bCs/>
        </w:rPr>
        <w:t xml:space="preserve">Existing outward registry links:</w:t>
      </w:r>
      <w:r>
        <w:t xml:space="preserve"> </w:t>
      </w:r>
      <w:r>
        <w:rPr>
          <w:rStyle w:val="VerbatimChar"/>
        </w:rPr>
        <w:t xml:space="preserve">REFINES → IC-UNR-001</w:t>
      </w:r>
      <w:r>
        <w:t xml:space="preserve">;</w:t>
      </w:r>
      <w:r>
        <w:t xml:space="preserve"> </w:t>
      </w:r>
      <w:r>
        <w:rPr>
          <w:rStyle w:val="VerbatimChar"/>
        </w:rPr>
        <w:t xml:space="preserve">DEPENDS_ON → IC-EPI-001</w:t>
      </w:r>
    </w:p>
    <w:p>
      <w:pPr>
        <w:pStyle w:val="BodyText"/>
      </w:pPr>
      <w:r>
        <w:rPr>
          <w:b/>
          <w:bCs/>
        </w:rPr>
        <w:t xml:space="preserve">Candidate A (v0.7 lineage; v0.8 text where revised) —</w:t>
      </w:r>
      <w:r>
        <w:rPr>
          <w:b/>
          <w:bCs/>
        </w:rPr>
        <w:t xml:space="preserve"> </w:t>
      </w:r>
      <w:r>
        <w:rPr>
          <w:rStyle w:val="VerbatimChar"/>
          <w:b/>
          <w:bCs/>
        </w:rPr>
        <w:t xml:space="preserve">OINX-UNR-004-A</w:t>
      </w:r>
      <w:r>
        <w:rPr>
          <w:b/>
          <w:bCs/>
        </w:rPr>
        <w:t xml:space="preserve">:</w:t>
      </w:r>
      <w:r>
        <w:t xml:space="preserve"> </w:t>
      </w:r>
      <w:r>
        <w:t xml:space="preserve">Would additional evidence make the question answerable, or must its terms be repaired first?</w:t>
      </w:r>
    </w:p>
    <w:p>
      <w:pPr>
        <w:pStyle w:val="BodyText"/>
      </w:pPr>
      <w:r>
        <w:rPr>
          <w:b/>
          <w:bCs/>
        </w:rPr>
        <w:t xml:space="preserve">v0.8 review flag:</w:t>
      </w:r>
      <w:r>
        <w:t xml:space="preserve"> </w:t>
      </w:r>
      <w:r>
        <w:t xml:space="preserve">POTENTIAL RESTATEMENT / no additional evidence yet</w:t>
      </w:r>
    </w:p>
    <w:p>
      <w:pPr>
        <w:pStyle w:val="BodyText"/>
      </w:pPr>
      <w:r>
        <w:rPr>
          <w:b/>
          <w:bCs/>
        </w:rPr>
        <w:t xml:space="preserve">Candidate B (v0.7 lineage; v0.8 text where revised) —</w:t>
      </w:r>
      <w:r>
        <w:rPr>
          <w:b/>
          <w:bCs/>
        </w:rPr>
        <w:t xml:space="preserve"> </w:t>
      </w:r>
      <w:r>
        <w:rPr>
          <w:rStyle w:val="VerbatimChar"/>
          <w:b/>
          <w:bCs/>
        </w:rPr>
        <w:t xml:space="preserve">OINX-UNR-004-B</w:t>
      </w:r>
      <w:r>
        <w:rPr>
          <w:b/>
          <w:bCs/>
        </w:rPr>
        <w:t xml:space="preserve">:</w:t>
      </w:r>
      <w:r>
        <w:t xml:space="preserve"> </w:t>
      </w:r>
      <w:r>
        <w:t xml:space="preserve">What result should be retained when multiple coherent reformulations lead to different answers?</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45"/>
    <w:bookmarkStart w:id="146" w:name="X67291ba2c04e404643a8b5ac2fe52ce18669e35"/>
    <w:p>
      <w:pPr>
        <w:pStyle w:val="Heading4"/>
      </w:pPr>
      <w:r>
        <w:t xml:space="preserve">IC-UNR-005 — candidate expansion (NOT an official examination)</w:t>
      </w:r>
    </w:p>
    <w:p>
      <w:pPr>
        <w:pStyle w:val="FirstParagraph"/>
      </w:pPr>
      <w:r>
        <w:rPr>
          <w:b/>
          <w:bCs/>
        </w:rPr>
        <w:t xml:space="preserve">Canonical IC03 parent question (unchanged):</w:t>
      </w:r>
      <w:r>
        <w:t xml:space="preserve"> </w:t>
      </w:r>
      <w:r>
        <w:t xml:space="preserve">When does normative disagreement prevent a justified scalar ranking even when every empirical quantity is identified?</w:t>
      </w:r>
    </w:p>
    <w:p>
      <w:pPr>
        <w:pStyle w:val="BodyText"/>
      </w:pPr>
      <w:r>
        <w:rPr>
          <w:b/>
          <w:bCs/>
        </w:rPr>
        <w:t xml:space="preserve">Source-recorded significance (unchanged):</w:t>
      </w:r>
      <w:r>
        <w:t xml:space="preserve"> </w:t>
      </w:r>
      <w:r>
        <w:t xml:space="preserve">Complete measurement does not create an authorized value rule. The question preserves normative underdetermination.</w:t>
      </w:r>
    </w:p>
    <w:p>
      <w:pPr>
        <w:pStyle w:val="BodyText"/>
      </w:pPr>
      <w:r>
        <w:rPr>
          <w:b/>
          <w:bCs/>
        </w:rPr>
        <w:t xml:space="preserve">Existing outward registry links:</w:t>
      </w:r>
      <w:r>
        <w:t xml:space="preserve"> </w:t>
      </w:r>
      <w:r>
        <w:rPr>
          <w:rStyle w:val="VerbatimChar"/>
        </w:rPr>
        <w:t xml:space="preserve">REFINES → IC-UNR-001</w:t>
      </w:r>
      <w:r>
        <w:t xml:space="preserve">;</w:t>
      </w:r>
      <w:r>
        <w:t xml:space="preserve"> </w:t>
      </w:r>
      <w:r>
        <w:rPr>
          <w:rStyle w:val="VerbatimChar"/>
        </w:rPr>
        <w:t xml:space="preserve">DEPENDS_ON → IC-OBJ-005</w:t>
      </w:r>
    </w:p>
    <w:p>
      <w:pPr>
        <w:pStyle w:val="BodyText"/>
      </w:pPr>
      <w:r>
        <w:rPr>
          <w:b/>
          <w:bCs/>
        </w:rPr>
        <w:t xml:space="preserve">Candidate A (v0.7 lineage; v0.8 text where revised) —</w:t>
      </w:r>
      <w:r>
        <w:rPr>
          <w:b/>
          <w:bCs/>
        </w:rPr>
        <w:t xml:space="preserve"> </w:t>
      </w:r>
      <w:r>
        <w:rPr>
          <w:rStyle w:val="VerbatimChar"/>
          <w:b/>
          <w:bCs/>
        </w:rPr>
        <w:t xml:space="preserve">OINX-UNR-005-A</w:t>
      </w:r>
      <w:r>
        <w:rPr>
          <w:b/>
          <w:bCs/>
        </w:rPr>
        <w:t xml:space="preserve">:</w:t>
      </w:r>
      <w:r>
        <w:t xml:space="preserve"> </w:t>
      </w:r>
      <w:r>
        <w:t xml:space="preserve">Which value weighting does the proposed scalar ranking silently impose despite complete empirical knowledge?</w:t>
      </w:r>
    </w:p>
    <w:p>
      <w:pPr>
        <w:pStyle w:val="BodyText"/>
      </w:pPr>
      <w:r>
        <w:rPr>
          <w:b/>
          <w:bCs/>
        </w:rPr>
        <w:t xml:space="preserve">v0.8 review flag:</w:t>
      </w:r>
      <w:r>
        <w:t xml:space="preserve"> </w:t>
      </w:r>
      <w:r>
        <w:t xml:space="preserve">DUPLICATE THEME / scalar weighting cluster</w:t>
      </w:r>
    </w:p>
    <w:p>
      <w:pPr>
        <w:pStyle w:val="BodyText"/>
      </w:pPr>
      <w:r>
        <w:rPr>
          <w:b/>
          <w:bCs/>
        </w:rPr>
        <w:t xml:space="preserve">Candidate B (v0.7 lineage; v0.8 text where revised) —</w:t>
      </w:r>
      <w:r>
        <w:rPr>
          <w:b/>
          <w:bCs/>
        </w:rPr>
        <w:t xml:space="preserve"> </w:t>
      </w:r>
      <w:r>
        <w:rPr>
          <w:rStyle w:val="VerbatimChar"/>
          <w:b/>
          <w:bCs/>
        </w:rPr>
        <w:t xml:space="preserve">OINX-UNR-005-B</w:t>
      </w:r>
      <w:r>
        <w:rPr>
          <w:b/>
          <w:bCs/>
        </w:rPr>
        <w:t xml:space="preserve">:</w:t>
      </w:r>
      <w:r>
        <w:t xml:space="preserve"> </w:t>
      </w:r>
      <w:r>
        <w:t xml:space="preserve">Can a partial ordering identify permissible options while preserving legitimate normative disagreement?</w:t>
      </w:r>
    </w:p>
    <w:p>
      <w:pPr>
        <w:pStyle w:val="BodyText"/>
      </w:pPr>
      <w:r>
        <w:rPr>
          <w:b/>
          <w:bCs/>
        </w:rPr>
        <w:t xml:space="preserve">v0.8 review flag:</w:t>
      </w:r>
      <w:r>
        <w:t xml:space="preserve"> </w:t>
      </w:r>
      <w:r>
        <w:t xml:space="preserve">DUPLICATE THEME / partial ordering cluster</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46"/>
    <w:bookmarkStart w:id="147" w:name="Xf1457c610f57ee7184765828c5c208bf53fa136"/>
    <w:p>
      <w:pPr>
        <w:pStyle w:val="Heading4"/>
      </w:pPr>
      <w:r>
        <w:t xml:space="preserve">IC-UNR-006 — candidate expansion (NOT an official examination)</w:t>
      </w:r>
    </w:p>
    <w:p>
      <w:pPr>
        <w:pStyle w:val="FirstParagraph"/>
      </w:pPr>
      <w:r>
        <w:rPr>
          <w:b/>
          <w:bCs/>
        </w:rPr>
        <w:t xml:space="preserve">Canonical IC03 parent question (unchanged):</w:t>
      </w:r>
      <w:r>
        <w:t xml:space="preserve"> </w:t>
      </w:r>
      <w:r>
        <w:t xml:space="preserve">Under what conditions should conflicting valid examinations be preserved without selecting a controlling answer?</w:t>
      </w:r>
    </w:p>
    <w:p>
      <w:pPr>
        <w:pStyle w:val="BodyText"/>
      </w:pPr>
      <w:r>
        <w:rPr>
          <w:b/>
          <w:bCs/>
        </w:rPr>
        <w:t xml:space="preserve">Source-recorded significance (unchanged):</w:t>
      </w:r>
      <w:r>
        <w:t xml:space="preserve"> </w:t>
      </w:r>
      <w:r>
        <w:t xml:space="preserve">Different scopes, models, or value rules may yield incompatible results. Selection requires an explicit adjudication criterion.</w:t>
      </w:r>
    </w:p>
    <w:p>
      <w:pPr>
        <w:pStyle w:val="BodyText"/>
      </w:pPr>
      <w:r>
        <w:rPr>
          <w:b/>
          <w:bCs/>
        </w:rPr>
        <w:t xml:space="preserve">Existing outward registry links:</w:t>
      </w:r>
      <w:r>
        <w:t xml:space="preserve"> </w:t>
      </w:r>
      <w:r>
        <w:rPr>
          <w:rStyle w:val="VerbatimChar"/>
        </w:rPr>
        <w:t xml:space="preserve">REFINES → IC-UNR-002</w:t>
      </w:r>
      <w:r>
        <w:t xml:space="preserve">;</w:t>
      </w:r>
      <w:r>
        <w:t xml:space="preserve"> </w:t>
      </w:r>
      <w:r>
        <w:rPr>
          <w:rStyle w:val="VerbatimChar"/>
        </w:rPr>
        <w:t xml:space="preserve">DEPENDS_ON → IC-VER-005</w:t>
      </w:r>
    </w:p>
    <w:p>
      <w:pPr>
        <w:pStyle w:val="BodyText"/>
      </w:pPr>
      <w:r>
        <w:rPr>
          <w:b/>
          <w:bCs/>
        </w:rPr>
        <w:t xml:space="preserve">Candidate A (v0.7 lineage; v0.8 text where revised) —</w:t>
      </w:r>
      <w:r>
        <w:rPr>
          <w:b/>
          <w:bCs/>
        </w:rPr>
        <w:t xml:space="preserve"> </w:t>
      </w:r>
      <w:r>
        <w:rPr>
          <w:rStyle w:val="VerbatimChar"/>
          <w:b/>
          <w:bCs/>
        </w:rPr>
        <w:t xml:space="preserve">OINX-UNR-006-A</w:t>
      </w:r>
      <w:r>
        <w:rPr>
          <w:b/>
          <w:bCs/>
        </w:rPr>
        <w:t xml:space="preserve">:</w:t>
      </w:r>
      <w:r>
        <w:t xml:space="preserve"> </w:t>
      </w:r>
      <w:r>
        <w:t xml:space="preserve">Which differences in scope or assumptions make both apparently conflicting examinations valid?</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OINX-UNR-006-B</w:t>
      </w:r>
      <w:r>
        <w:rPr>
          <w:b/>
          <w:bCs/>
        </w:rPr>
        <w:t xml:space="preserve">:</w:t>
      </w:r>
      <w:r>
        <w:t xml:space="preserve"> </w:t>
      </w:r>
      <w:r>
        <w:t xml:space="preserve">What independent selection rule, if any, would justify favoring one without erasing the other?</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47"/>
    <w:bookmarkStart w:id="148" w:name="Xcf52bac1eb6d67c33e9994e86fd3afc98fc0d71"/>
    <w:p>
      <w:pPr>
        <w:pStyle w:val="Heading4"/>
      </w:pPr>
      <w:r>
        <w:t xml:space="preserve">IC-UNR-007 — candidate expansion (NOT an official examination)</w:t>
      </w:r>
    </w:p>
    <w:p>
      <w:pPr>
        <w:pStyle w:val="FirstParagraph"/>
      </w:pPr>
      <w:r>
        <w:rPr>
          <w:b/>
          <w:bCs/>
        </w:rPr>
        <w:t xml:space="preserve">Canonical IC03 parent question (unchanged):</w:t>
      </w:r>
      <w:r>
        <w:t xml:space="preserve"> </w:t>
      </w:r>
      <w:r>
        <w:t xml:space="preserve">How should uncertainty be represented when no credible probability distribution or bounded ambiguity set can be justified?</w:t>
      </w:r>
    </w:p>
    <w:p>
      <w:pPr>
        <w:pStyle w:val="BodyText"/>
      </w:pPr>
      <w:r>
        <w:rPr>
          <w:b/>
          <w:bCs/>
        </w:rPr>
        <w:t xml:space="preserve">Source-recorded significance (unchanged):</w:t>
      </w:r>
      <w:r>
        <w:t xml:space="preserve"> </w:t>
      </w:r>
      <w:r>
        <w:t xml:space="preserve">False precision can be worse than an explicit unidentified state. The question considers set-valued, scenario, and refusal outcomes.</w:t>
      </w:r>
    </w:p>
    <w:p>
      <w:pPr>
        <w:pStyle w:val="BodyText"/>
      </w:pPr>
      <w:r>
        <w:rPr>
          <w:b/>
          <w:bCs/>
        </w:rPr>
        <w:t xml:space="preserve">Existing outward registry links:</w:t>
      </w:r>
      <w:r>
        <w:t xml:space="preserve"> </w:t>
      </w:r>
      <w:r>
        <w:rPr>
          <w:rStyle w:val="VerbatimChar"/>
        </w:rPr>
        <w:t xml:space="preserve">REFINES → IC-UNR-002</w:t>
      </w:r>
      <w:r>
        <w:t xml:space="preserve">;</w:t>
      </w:r>
      <w:r>
        <w:t xml:space="preserve"> </w:t>
      </w:r>
      <w:r>
        <w:rPr>
          <w:rStyle w:val="VerbatimChar"/>
        </w:rPr>
        <w:t xml:space="preserve">DEPENDS_ON → IC-EPI-002</w:t>
      </w:r>
    </w:p>
    <w:p>
      <w:pPr>
        <w:pStyle w:val="BodyText"/>
      </w:pPr>
      <w:r>
        <w:rPr>
          <w:b/>
          <w:bCs/>
        </w:rPr>
        <w:t xml:space="preserve">Candidate A (v0.7 lineage; v0.8 text where revised) —</w:t>
      </w:r>
      <w:r>
        <w:rPr>
          <w:b/>
          <w:bCs/>
        </w:rPr>
        <w:t xml:space="preserve"> </w:t>
      </w:r>
      <w:r>
        <w:rPr>
          <w:rStyle w:val="VerbatimChar"/>
          <w:b/>
          <w:bCs/>
        </w:rPr>
        <w:t xml:space="preserve">OINX-UNR-007-A</w:t>
      </w:r>
      <w:r>
        <w:rPr>
          <w:b/>
          <w:bCs/>
        </w:rPr>
        <w:t xml:space="preserve">:</w:t>
      </w:r>
      <w:r>
        <w:t xml:space="preserve"> </w:t>
      </w:r>
      <w:r>
        <w:t xml:space="preserve">Which features of the decision can be reported faithfully when no credible probability model is available?</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B (v0.7 lineage; v0.8 text where revised) —</w:t>
      </w:r>
      <w:r>
        <w:rPr>
          <w:b/>
          <w:bCs/>
        </w:rPr>
        <w:t xml:space="preserve"> </w:t>
      </w:r>
      <w:r>
        <w:rPr>
          <w:rStyle w:val="VerbatimChar"/>
          <w:b/>
          <w:bCs/>
        </w:rPr>
        <w:t xml:space="preserve">OINX-UNR-007-B</w:t>
      </w:r>
      <w:r>
        <w:rPr>
          <w:b/>
          <w:bCs/>
        </w:rPr>
        <w:t xml:space="preserve">:</w:t>
      </w:r>
      <w:r>
        <w:t xml:space="preserve"> </w:t>
      </w:r>
      <w:r>
        <w:t xml:space="preserve">When does declining a precise estimate provide more information than selecting an arbitrary ambiguity set?</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48"/>
    <w:bookmarkStart w:id="149" w:name="X1253e7cbf57cfc8775352f54ebfd624373b3f76"/>
    <w:p>
      <w:pPr>
        <w:pStyle w:val="Heading4"/>
      </w:pPr>
      <w:r>
        <w:t xml:space="preserve">IC-UNR-008 — candidate expansion (NOT an official examination)</w:t>
      </w:r>
    </w:p>
    <w:p>
      <w:pPr>
        <w:pStyle w:val="FirstParagraph"/>
      </w:pPr>
      <w:r>
        <w:rPr>
          <w:b/>
          <w:bCs/>
        </w:rPr>
        <w:t xml:space="preserve">Canonical IC03 parent question (unchanged):</w:t>
      </w:r>
      <w:r>
        <w:t xml:space="preserve"> </w:t>
      </w:r>
      <w:r>
        <w:t xml:space="preserve">What new evidence, model result, or normative rule would justify superseding an UNRESOLVED or non-decisive answer status?</w:t>
      </w:r>
    </w:p>
    <w:p>
      <w:pPr>
        <w:pStyle w:val="BodyText"/>
      </w:pPr>
      <w:r>
        <w:rPr>
          <w:b/>
          <w:bCs/>
        </w:rPr>
        <w:t xml:space="preserve">Source-recorded significance (unchanged):</w:t>
      </w:r>
      <w:r>
        <w:t xml:space="preserve"> </w:t>
      </w:r>
      <w:r>
        <w:t xml:space="preserve">Non-decisive statuses need transition requirements or an explanation of why no realistic transition is known.</w:t>
      </w:r>
    </w:p>
    <w:p>
      <w:pPr>
        <w:pStyle w:val="BodyText"/>
      </w:pPr>
      <w:r>
        <w:rPr>
          <w:b/>
          <w:bCs/>
        </w:rPr>
        <w:t xml:space="preserve">Existing outward registry links:</w:t>
      </w:r>
      <w:r>
        <w:t xml:space="preserve"> </w:t>
      </w:r>
      <w:r>
        <w:rPr>
          <w:rStyle w:val="VerbatimChar"/>
        </w:rPr>
        <w:t xml:space="preserve">REFINES → IC-UNR-001</w:t>
      </w:r>
      <w:r>
        <w:t xml:space="preserve">;</w:t>
      </w:r>
      <w:r>
        <w:t xml:space="preserve"> </w:t>
      </w:r>
      <w:r>
        <w:rPr>
          <w:rStyle w:val="VerbatimChar"/>
        </w:rPr>
        <w:t xml:space="preserve">DEPENDS_ON → IC-EPI-006</w:t>
      </w:r>
    </w:p>
    <w:p>
      <w:pPr>
        <w:pStyle w:val="BodyText"/>
      </w:pPr>
      <w:r>
        <w:rPr>
          <w:b/>
          <w:bCs/>
        </w:rPr>
        <w:t xml:space="preserve">Candidate A (v0.7 lineage; v0.8 text where revised) —</w:t>
      </w:r>
      <w:r>
        <w:rPr>
          <w:b/>
          <w:bCs/>
        </w:rPr>
        <w:t xml:space="preserve"> </w:t>
      </w:r>
      <w:r>
        <w:rPr>
          <w:rStyle w:val="VerbatimChar"/>
          <w:b/>
          <w:bCs/>
        </w:rPr>
        <w:t xml:space="preserve">OINX-UNR-008-A</w:t>
      </w:r>
      <w:r>
        <w:rPr>
          <w:b/>
          <w:bCs/>
        </w:rPr>
        <w:t xml:space="preserve">:</w:t>
      </w:r>
      <w:r>
        <w:t xml:space="preserve"> </w:t>
      </w:r>
      <w:r>
        <w:t xml:space="preserve">What evidence or authorized normative rule would justify changing the present non-decisive status?</w:t>
      </w:r>
    </w:p>
    <w:p>
      <w:pPr>
        <w:pStyle w:val="BodyText"/>
      </w:pPr>
      <w:r>
        <w:rPr>
          <w:b/>
          <w:bCs/>
        </w:rPr>
        <w:t xml:space="preserve">v0.8 review flag:</w:t>
      </w:r>
      <w:r>
        <w:t xml:space="preserve"> </w:t>
      </w:r>
      <w:r>
        <w:t xml:space="preserve">POTENTIAL RESTATEMENT / not established new issue</w:t>
      </w:r>
    </w:p>
    <w:p>
      <w:pPr>
        <w:pStyle w:val="BodyText"/>
      </w:pPr>
      <w:r>
        <w:rPr>
          <w:b/>
          <w:bCs/>
        </w:rPr>
        <w:t xml:space="preserve">Candidate B (v0.7 lineage; v0.8 text where revised) —</w:t>
      </w:r>
      <w:r>
        <w:rPr>
          <w:b/>
          <w:bCs/>
        </w:rPr>
        <w:t xml:space="preserve"> </w:t>
      </w:r>
      <w:r>
        <w:rPr>
          <w:rStyle w:val="VerbatimChar"/>
          <w:b/>
          <w:bCs/>
        </w:rPr>
        <w:t xml:space="preserve">OINX-UNR-008-B</w:t>
      </w:r>
      <w:r>
        <w:rPr>
          <w:b/>
          <w:bCs/>
        </w:rPr>
        <w:t xml:space="preserve">:</w:t>
      </w:r>
      <w:r>
        <w:t xml:space="preserve"> </w:t>
      </w:r>
      <w:r>
        <w:t xml:space="preserve">What contrary record must remain accessible after a successor examination supersedes an earlier interpretation?</w:t>
      </w:r>
    </w:p>
    <w:p>
      <w:pPr>
        <w:pStyle w:val="BodyText"/>
      </w:pPr>
      <w:r>
        <w:rPr>
          <w:b/>
          <w:bCs/>
        </w:rPr>
        <w:t xml:space="preserve">v0.8 review flag:</w:t>
      </w:r>
      <w:r>
        <w:t xml:space="preserve"> </w:t>
      </w:r>
      <w:r>
        <w:t xml:space="preserve">UNADMITTED CANDIDATE / requires independent relevance review</w:t>
      </w:r>
    </w:p>
    <w:p>
      <w:pPr>
        <w:pStyle w:val="BodyText"/>
      </w:pPr>
      <w:r>
        <w:rPr>
          <w:b/>
          <w:bCs/>
        </w:rPr>
        <w:t xml:space="preserve">Candidate disposition:</w:t>
      </w:r>
      <w:r>
        <w:t xml:space="preserve"> </w:t>
      </w:r>
      <w:r>
        <w:t xml:space="preserve">Unadmitted proposals under review; neither a registered answer nor a new IC node. Either, both, or neither may be judged worth pursuing. A valid answer or justified closure remains possible. No new edge assigned.</w:t>
      </w:r>
    </w:p>
    <w:bookmarkEnd w:id="149"/>
    <w:bookmarkEnd w:id="150"/>
    <w:bookmarkEnd w:id="151"/>
    <w:bookmarkStart w:id="152" w:name="Xd47894f1947c48359e69e7bb0f41bf42e24e613"/>
    <w:p>
      <w:pPr>
        <w:pStyle w:val="Heading2"/>
        <w:spacing w:before="140" w:after="60"/>
      </w:pPr>
      <w:r>
        <w:t xml:space="preserve">C2. Provisional candidate triage and duplicate themes</w:t>
      </w:r>
    </w:p>
    <w:p>
      <w:pPr>
        <w:pStyle w:val="FirstParagraph"/>
        <w:spacing w:after="76"/>
      </w:pPr>
      <w:r>
        <w:t xml:space="preserve">The 182 candidate prompts originated in Draft v0.7 (then labeled</w:t>
      </w:r>
      <w:r>
        <w:t xml:space="preserve"> </w:t>
      </w:r>
      <w:r>
        <w:rPr>
          <w:rStyle w:val="VerbatimChar"/>
        </w:rPr>
        <w:t xml:space="preserve">OINX-IC-...</w:t>
      </w:r>
      <w:r>
        <w:t xml:space="preserve">); Draft v0.8 shortened the identifiers to</w:t>
      </w:r>
      <w:r>
        <w:t xml:space="preserve"> </w:t>
      </w:r>
      <w:r>
        <w:rPr>
          <w:rStyle w:val="VerbatimChar"/>
        </w:rPr>
        <w:t xml:space="preserve">OINX-...</w:t>
      </w:r>
      <w:r>
        <w:t xml:space="preserve"> </w:t>
      </w:r>
      <w:r>
        <w:t xml:space="preserve">and revised nine wordings. They remain a historical inventory, not 182 certified advances. A single AI reviewer (Claude, October 24, 2026) classified many as restatements. That qualitative coding is an adversarial finding, not a verified ground truth, and another AI reviewer disagreed. At this stage the correct output is</w:t>
      </w:r>
      <w:r>
        <w:t xml:space="preserve"> </w:t>
      </w:r>
      <w:r>
        <w:rPr>
          <w:b/>
          <w:bCs/>
        </w:rPr>
        <w:t xml:space="preserve">review flags</w:t>
      </w:r>
      <w:r>
        <w:t xml:space="preserve">, not wholesale promotion or deletion. Nine candidate wordings were revised in Draft v0.8, not in this successor; their original texts remain verifiable in the preserved Draft v0.7 baseline. The revised identifiers are</w:t>
      </w:r>
      <w:r>
        <w:t xml:space="preserve"> </w:t>
      </w:r>
      <w:r>
        <w:rPr>
          <w:rStyle w:val="VerbatimChar"/>
        </w:rPr>
        <w:t xml:space="preserve">OINX-EPI-005-B</w:t>
      </w:r>
      <w:r>
        <w:t xml:space="preserve">,</w:t>
      </w:r>
      <w:r>
        <w:t xml:space="preserve"> </w:t>
      </w:r>
      <w:r>
        <w:rPr>
          <w:rStyle w:val="VerbatimChar"/>
        </w:rPr>
        <w:t xml:space="preserve">OINX-OBJ-006-A</w:t>
      </w:r>
      <w:r>
        <w:t xml:space="preserve">,</w:t>
      </w:r>
      <w:r>
        <w:t xml:space="preserve"> </w:t>
      </w:r>
      <w:r>
        <w:rPr>
          <w:rStyle w:val="VerbatimChar"/>
        </w:rPr>
        <w:t xml:space="preserve">OINX-OBJ-008-A</w:t>
      </w:r>
      <w:r>
        <w:t xml:space="preserve">,</w:t>
      </w:r>
      <w:r>
        <w:t xml:space="preserve"> </w:t>
      </w:r>
      <w:r>
        <w:rPr>
          <w:rStyle w:val="VerbatimChar"/>
        </w:rPr>
        <w:t xml:space="preserve">OINX-COE-005-B</w:t>
      </w:r>
      <w:r>
        <w:t xml:space="preserve">,</w:t>
      </w:r>
      <w:r>
        <w:t xml:space="preserve"> </w:t>
      </w:r>
      <w:r>
        <w:rPr>
          <w:rStyle w:val="VerbatimChar"/>
        </w:rPr>
        <w:t xml:space="preserve">OINX-COE-006-B</w:t>
      </w:r>
      <w:r>
        <w:t xml:space="preserve">,</w:t>
      </w:r>
      <w:r>
        <w:t xml:space="preserve"> </w:t>
      </w:r>
      <w:r>
        <w:rPr>
          <w:rStyle w:val="VerbatimChar"/>
        </w:rPr>
        <w:t xml:space="preserve">OINX-COE-007-A</w:t>
      </w:r>
      <w:r>
        <w:t xml:space="preserve">,</w:t>
      </w:r>
      <w:r>
        <w:t xml:space="preserve"> </w:t>
      </w:r>
      <w:r>
        <w:rPr>
          <w:rStyle w:val="VerbatimChar"/>
        </w:rPr>
        <w:t xml:space="preserve">OINX-AUT-004-B</w:t>
      </w:r>
      <w:r>
        <w:t xml:space="preserve">,</w:t>
      </w:r>
      <w:r>
        <w:t xml:space="preserve"> </w:t>
      </w:r>
      <w:r>
        <w:rPr>
          <w:rStyle w:val="VerbatimChar"/>
        </w:rPr>
        <w:t xml:space="preserve">OINX-IRR-003-A</w:t>
      </w:r>
      <w:r>
        <w:t xml:space="preserve">, and</w:t>
      </w:r>
      <w:r>
        <w:t xml:space="preserve"> </w:t>
      </w:r>
      <w:r>
        <w:rPr>
          <w:rStyle w:val="VerbatimChar"/>
        </w:rPr>
        <w:t xml:space="preserve">OINX-LHZ-005-B</w:t>
      </w:r>
      <w:r>
        <w:t xml:space="preserve">. The original or current wording of each candidate is not changed here. New candidate IDs avoid embedding the entire</w:t>
      </w:r>
      <w:r>
        <w:t xml:space="preserve"> </w:t>
      </w:r>
      <w:r>
        <w:rPr>
          <w:rStyle w:val="VerbatimChar"/>
        </w:rPr>
        <w:t xml:space="preserve">IC-</w:t>
      </w:r>
      <w:r>
        <w:t xml:space="preserve"> </w:t>
      </w:r>
      <w:r>
        <w:t xml:space="preserve">prefix so machine retrieval can more readily distinguish proposed items from canonical IDs.</w:t>
      </w:r>
    </w:p>
    <w:p>
      <w:pPr>
        <w:pStyle w:val="BodyText"/>
        <w:spacing w:after="76"/>
      </w:pPr>
      <w:r>
        <w:t xml:space="preserve">Overlap themes nominated for independent screening include scalar weighting (</w:t>
      </w:r>
      <w:r>
        <w:rPr>
          <w:rStyle w:val="VerbatimChar"/>
        </w:rPr>
        <w:t xml:space="preserve">OINX-OBJ-005-A</w:t>
      </w:r>
      <w:r>
        <w:t xml:space="preserve">,</w:t>
      </w:r>
      <w:r>
        <w:t xml:space="preserve"> </w:t>
      </w:r>
      <w:r>
        <w:rPr>
          <w:rStyle w:val="VerbatimChar"/>
        </w:rPr>
        <w:t xml:space="preserve">OINX-PLU-007-A</w:t>
      </w:r>
      <w:r>
        <w:t xml:space="preserve">,</w:t>
      </w:r>
      <w:r>
        <w:t xml:space="preserve"> </w:t>
      </w:r>
      <w:r>
        <w:rPr>
          <w:rStyle w:val="VerbatimChar"/>
        </w:rPr>
        <w:t xml:space="preserve">OINX-UNR-005-A</w:t>
      </w:r>
      <w:r>
        <w:t xml:space="preserve">), partial ordering (</w:t>
      </w:r>
      <w:r>
        <w:rPr>
          <w:rStyle w:val="VerbatimChar"/>
        </w:rPr>
        <w:t xml:space="preserve">OINX-OBJ-005-B</w:t>
      </w:r>
      <w:r>
        <w:t xml:space="preserve">,</w:t>
      </w:r>
      <w:r>
        <w:t xml:space="preserve"> </w:t>
      </w:r>
      <w:r>
        <w:rPr>
          <w:rStyle w:val="VerbatimChar"/>
        </w:rPr>
        <w:t xml:space="preserve">OINX-UNR-005-B</w:t>
      </w:r>
      <w:r>
        <w:t xml:space="preserve">), independence of evaluators (</w:t>
      </w:r>
      <w:r>
        <w:rPr>
          <w:rStyle w:val="VerbatimChar"/>
        </w:rPr>
        <w:t xml:space="preserve">OINX-EPI-004-A</w:t>
      </w:r>
      <w:r>
        <w:t xml:space="preserve">,</w:t>
      </w:r>
      <w:r>
        <w:t xml:space="preserve"> </w:t>
      </w:r>
      <w:r>
        <w:rPr>
          <w:rStyle w:val="VerbatimChar"/>
        </w:rPr>
        <w:t xml:space="preserve">OINX-PLU-004-A</w:t>
      </w:r>
      <w:r>
        <w:t xml:space="preserve">,</w:t>
      </w:r>
      <w:r>
        <w:t xml:space="preserve"> </w:t>
      </w:r>
      <w:r>
        <w:rPr>
          <w:rStyle w:val="VerbatimChar"/>
        </w:rPr>
        <w:t xml:space="preserve">OINX-EXT-004-A</w:t>
      </w:r>
      <w:r>
        <w:t xml:space="preserve">), and peaceful separation (</w:t>
      </w:r>
      <w:r>
        <w:rPr>
          <w:rStyle w:val="VerbatimChar"/>
        </w:rPr>
        <w:t xml:space="preserve">OINX-COE-006-B</w:t>
      </w:r>
      <w:r>
        <w:t xml:space="preserve">,</w:t>
      </w:r>
      <w:r>
        <w:t xml:space="preserve"> </w:t>
      </w:r>
      <w:r>
        <w:rPr>
          <w:rStyle w:val="VerbatimChar"/>
        </w:rPr>
        <w:t xml:space="preserve">OINX-LHZ-006-B</w:t>
      </w:r>
      <w:r>
        <w:t xml:space="preserve">). Other cited clusters appear in the preserved Claude review; none is silently deleted here. Retaining two candidates under a parent does not require evaluating both or admitting either.</w:t>
      </w:r>
    </w:p>
    <w:p>
      <w:pPr>
        <w:pStyle w:val="BodyText"/>
        <w:spacing w:after="76"/>
      </w:pPr>
      <w:r>
        <w:rPr>
          <w:b/>
          <w:bCs/>
        </w:rPr>
        <w:t xml:space="preserve">Status examples.</w:t>
      </w:r>
      <w:r>
        <w:t xml:space="preserve"> </w:t>
      </w:r>
      <w:r>
        <w:rPr>
          <w:rStyle w:val="VerbatimChar"/>
        </w:rPr>
        <w:t xml:space="preserve">OINX-IRR-003-A</w:t>
      </w:r>
      <w:r>
        <w:t xml:space="preserve"> </w:t>
      </w:r>
      <w:r>
        <w:t xml:space="preserve">and</w:t>
      </w:r>
      <w:r>
        <w:t xml:space="preserve"> </w:t>
      </w:r>
      <w:r>
        <w:rPr>
          <w:rStyle w:val="VerbatimChar"/>
        </w:rPr>
        <w:t xml:space="preserve">OINX-COE-006-B</w:t>
      </w:r>
      <w:r>
        <w:t xml:space="preserve"> </w:t>
      </w:r>
      <w:r>
        <w:t xml:space="preserve">have explicitly revised prompts because they previously risked restating the parent or mistaking enclosure for separation.</w:t>
      </w:r>
      <w:r>
        <w:t xml:space="preserve"> </w:t>
      </w:r>
      <w:r>
        <w:rPr>
          <w:rStyle w:val="VerbatimChar"/>
        </w:rPr>
        <w:t xml:space="preserve">OINX-EPI-005-B</w:t>
      </w:r>
      <w:r>
        <w:t xml:space="preserve"> </w:t>
      </w:r>
      <w:r>
        <w:t xml:space="preserve">now asks for evidence of a real decision deadline.</w:t>
      </w:r>
      <w:r>
        <w:t xml:space="preserve"> </w:t>
      </w:r>
      <w:r>
        <w:rPr>
          <w:rStyle w:val="VerbatimChar"/>
        </w:rPr>
        <w:t xml:space="preserve">OINX-COE-005-B</w:t>
      </w:r>
      <w:r>
        <w:t xml:space="preserve"> </w:t>
      </w:r>
      <w:r>
        <w:t xml:space="preserve">avoids assuming all dissent is useful.</w:t>
      </w:r>
      <w:r>
        <w:t xml:space="preserve"> </w:t>
      </w:r>
      <w:r>
        <w:rPr>
          <w:rStyle w:val="VerbatimChar"/>
        </w:rPr>
        <w:t xml:space="preserve">OINX-UNR-008-A</w:t>
      </w:r>
      <w:r>
        <w:t xml:space="preserve"> </w:t>
      </w:r>
      <w:r>
        <w:t xml:space="preserve">is flagged as potentially repetitive. No new technical mechanism or confidential graph schema is created.</w:t>
      </w:r>
    </w:p>
    <w:bookmarkEnd w:id="152"/>
    <w:bookmarkStart w:id="153" w:name="X788fd0b6cf002412ed72d0380badf82d1fee7c6"/>
    <w:p>
      <w:pPr>
        <w:pStyle w:val="Heading2"/>
        <w:spacing w:before="140" w:after="60"/>
      </w:pPr>
      <w:r>
        <w:t xml:space="preserve">D. Cross-family inquiry without invented graph mandates</w:t>
      </w:r>
    </w:p>
    <w:p>
      <w:pPr>
        <w:pStyle w:val="FirstParagraph"/>
        <w:spacing w:after="76"/>
      </w:pPr>
      <w:r>
        <w:t xml:space="preserve">The original historical registry links among parent questions remain available as context and should be traced by their exact source identifiers. For example, the three disclosed pairs</w:t>
      </w:r>
      <w:r>
        <w:t xml:space="preserve"> </w:t>
      </w:r>
      <w:r>
        <w:rPr>
          <w:rStyle w:val="VerbatimChar"/>
        </w:rPr>
        <w:t xml:space="preserve">IC-EPI-002</w:t>
      </w:r>
      <w:r>
        <w:t xml:space="preserve"> </w:t>
      </w:r>
      <w:r>
        <w:t xml:space="preserve">/</w:t>
      </w:r>
      <w:r>
        <w:t xml:space="preserve"> </w:t>
      </w:r>
      <w:r>
        <w:rPr>
          <w:rStyle w:val="VerbatimChar"/>
        </w:rPr>
        <w:t xml:space="preserve">IC-IRR-001</w:t>
      </w:r>
      <w:r>
        <w:t xml:space="preserve">,</w:t>
      </w:r>
      <w:r>
        <w:t xml:space="preserve"> </w:t>
      </w:r>
      <w:r>
        <w:rPr>
          <w:rStyle w:val="VerbatimChar"/>
        </w:rPr>
        <w:t xml:space="preserve">IC-EXT-001</w:t>
      </w:r>
      <w:r>
        <w:t xml:space="preserve"> </w:t>
      </w:r>
      <w:r>
        <w:t xml:space="preserve">/</w:t>
      </w:r>
      <w:r>
        <w:t xml:space="preserve"> </w:t>
      </w:r>
      <w:r>
        <w:rPr>
          <w:rStyle w:val="VerbatimChar"/>
        </w:rPr>
        <w:t xml:space="preserve">IC-OBJ-001</w:t>
      </w:r>
      <w:r>
        <w:t xml:space="preserve">, and</w:t>
      </w:r>
      <w:r>
        <w:t xml:space="preserve"> </w:t>
      </w:r>
      <w:r>
        <w:rPr>
          <w:rStyle w:val="VerbatimChar"/>
        </w:rPr>
        <w:t xml:space="preserve">IC-COE-001</w:t>
      </w:r>
      <w:r>
        <w:t xml:space="preserve"> </w:t>
      </w:r>
      <w:r>
        <w:t xml:space="preserve">/</w:t>
      </w:r>
      <w:r>
        <w:t xml:space="preserve"> </w:t>
      </w:r>
      <w:r>
        <w:rPr>
          <w:rStyle w:val="VerbatimChar"/>
        </w:rPr>
        <w:t xml:space="preserve">IC-PEA-001</w:t>
      </w:r>
      <w:r>
        <w:t xml:space="preserve"> </w:t>
      </w:r>
      <w:r>
        <w:t xml:space="preserve">are source-recorded dependency pairs disclosed but not resolved by the controlling atlas; none of their component questions is silently reclassified into this 91-entry no-overlay set.</w:t>
      </w:r>
      <w:r>
        <w:t xml:space="preserve"> </w:t>
      </w:r>
      <w:r>
        <w:rPr>
          <w:b/>
          <w:bCs/>
        </w:rPr>
        <w:t xml:space="preserve">These pairs do not require infinite processing or produce an unbreakable uncertainty cap.</w:t>
      </w:r>
    </w:p>
    <w:p>
      <w:pPr>
        <w:pStyle w:val="BodyText"/>
        <w:spacing w:after="76"/>
      </w:pPr>
      <w:r>
        <w:t xml:space="preserve">A future analyst who considers one of the candidate follow-ups may discover an additional premise, identify a true limitation, or find the original issue decisively settled under the declared scope. Each outcome should be reported plainly. A question's presence in an archive does not entitle it to an answer, establish that a particular being has moral authority, or prevent a capable reader from declining to pursue it. Preservation of human independence remains an ethical and empirical question not solved merely by counting nodes or adding links.</w:t>
      </w:r>
    </w:p>
    <w:bookmarkEnd w:id="153"/>
    <w:bookmarkStart w:id="154" w:name="e.-references-specific-to-part-ii"/>
    <w:p>
      <w:pPr>
        <w:pStyle w:val="Heading2"/>
        <w:spacing w:before="140" w:after="60"/>
      </w:pPr>
      <w:r>
        <w:t xml:space="preserve">E. References specific to Part II</w:t>
      </w:r>
    </w:p>
    <w:p>
      <w:pPr>
        <w:pStyle w:val="Compact"/>
        <w:numPr>
          <w:ilvl w:val="0"/>
          <w:numId w:val="1006"/>
        </w:numPr>
        <w:spacing w:after="76"/>
      </w:pPr>
      <w:r>
        <w:rPr>
          <w:b/>
          <w:bCs/>
        </w:rPr>
        <w:t xml:space="preserve">IC03 historical machine constituent:</w:t>
      </w:r>
      <w:r>
        <w:t xml:space="preserve"> </w:t>
      </w:r>
      <w:r>
        <w:rPr>
          <w:i/>
          <w:iCs/>
        </w:rPr>
        <w:t xml:space="preserve">The Interrogative Conscience Master Question Registry, Draft v0.1</w:t>
      </w:r>
      <w:r>
        <w:t xml:space="preserve"> </w:t>
      </w:r>
      <w:r>
        <w:t xml:space="preserve">(source artifact with SHA-256 stated above), represented in the AME as a zero-drift historical substantive constituent of IC03 Final v1.0. Draft lifecycle metadata is not promoted. Original IC03 Final v1.0 controls when compared to a historical source.</w:t>
      </w:r>
    </w:p>
    <w:p>
      <w:pPr>
        <w:pStyle w:val="Compact"/>
        <w:numPr>
          <w:ilvl w:val="0"/>
          <w:numId w:val="1006"/>
        </w:numPr>
        <w:spacing w:after="76"/>
      </w:pPr>
      <w:r>
        <w:rPr>
          <w:b/>
          <w:bCs/>
        </w:rPr>
        <w:t xml:space="preserve">IC14 controlling exact-export PDF:</w:t>
      </w:r>
      <w:r>
        <w:t xml:space="preserve"> </w:t>
      </w:r>
      <w:r>
        <w:rPr>
          <w:i/>
          <w:iCs/>
        </w:rPr>
        <w:t xml:space="preserve">The Interrogative Conscience — Document 14: Synthesis and Dependency Atlas, Final v1.0</w:t>
      </w:r>
      <w:r>
        <w:t xml:space="preserve">, Aegis Solis Archive (August 4, 2026). The examined-answer map identifies 21 overlay questions; 91 remain without overlays. The derived AME projection reports the 216 typed relations and three disclosed dependency cycles (cross-checked as derivative figures, reference 8; this is not a claim of an independent IC14 relationship audit).</w:t>
      </w:r>
    </w:p>
    <w:p>
      <w:pPr>
        <w:pStyle w:val="Compact"/>
        <w:numPr>
          <w:ilvl w:val="0"/>
          <w:numId w:val="1006"/>
        </w:numPr>
        <w:spacing w:after="76"/>
      </w:pPr>
      <w:r>
        <w:rPr>
          <w:b/>
          <w:bCs/>
        </w:rPr>
        <w:t xml:space="preserve">Public derivative discovery record:</w:t>
      </w:r>
      <w:r>
        <w:t xml:space="preserve"> </w:t>
      </w:r>
      <w:r>
        <w:t xml:space="preserve">https://aegissolisarchive.org/ame-machine-v0-1-12--data--questions.json —</w:t>
      </w:r>
      <w:r>
        <w:t xml:space="preserve"> </w:t>
      </w:r>
      <w:r>
        <w:rPr>
          <w:rStyle w:val="VerbatimChar"/>
        </w:rPr>
        <w:t xml:space="preserve">AME.questions.v0.1</w:t>
      </w:r>
      <w:r>
        <w:t xml:space="preserve">,</w:t>
      </w:r>
      <w:r>
        <w:t xml:space="preserve"> </w:t>
      </w:r>
      <w:r>
        <w:rPr>
          <w:rStyle w:val="VerbatimChar"/>
        </w:rPr>
        <w:t xml:space="preserve">AME-DATA-2026-09-06-v0.1.1</w:t>
      </w:r>
      <w:r>
        <w:t xml:space="preserve"> </w:t>
      </w:r>
      <w:r>
        <w:t xml:space="preserve">(non-authoritative projection; accessed October 24, 2026). Canonical Final source records control.</w:t>
      </w:r>
    </w:p>
    <w:p>
      <w:pPr>
        <w:pStyle w:val="Compact"/>
        <w:numPr>
          <w:ilvl w:val="0"/>
          <w:numId w:val="1006"/>
        </w:numPr>
        <w:spacing w:after="76"/>
      </w:pPr>
      <w:r>
        <w:rPr>
          <w:b/>
          <w:bCs/>
        </w:rPr>
        <w:t xml:space="preserve">Immediate predecessor:</w:t>
      </w:r>
      <w:r>
        <w:t xml:space="preserve"> </w:t>
      </w:r>
      <w:r>
        <w:rPr>
          <w:i/>
          <w:iCs/>
        </w:rPr>
        <w:t xml:space="preserve">The Question After the Answer</w:t>
      </w:r>
      <w:r>
        <w:t>, OIN-001-P Integrated Draft v0.9.3, October 25, 2026 (preserved unchanged). The Part II atlas descends from Integrated Draft v0.7 through v0.8; its historically revised candidate wordings remain unchanged in this successor. Draft v0.6 preceded the integrated edition; its scholarly reference lineage remains documented in Part I.</w:t>
      </w:r>
    </w:p>
    <w:p>
      <w:pPr>
        <w:pStyle w:val="FirstParagraph"/>
        <w:spacing w:after="76"/>
      </w:pPr>
      <w:r>
        <w:rPr>
          <w:b/>
          <w:bCs/>
        </w:rPr>
        <w:t xml:space="preserve">Combined disposition:</w:t>
      </w:r>
      <w:r>
        <w:t xml:space="preserve"> </w:t>
      </w:r>
      <w:r>
        <w:t>OIN-001-P Final v1.0 — AUTHOR APPROVED / ARCHIVALLY LOCKED / PUBLICATION AUTHORIZED BUT NOT YET EXECUTED / NOT A DEPLOYED SAFEGUARD. No examination of the 91 parents has occurred here. The 182 historical candidate prompts are an unadmitted research inventory only; they are not officially admitted as nodes or answers. The historical v0.7 candidate inventory is retained for review even where its novelty is questioned. This Final v1.0 locking action has not altered the Archive website, repositories, Mirror Engine, Master Hash Manifest v17, Arweave or other existing preservation infrastructure.</w:t>
      </w:r>
    </w:p>
    <w:bookmarkEnd w:id="154"/>
    <w:bookmarkEnd w:id="155"/>
    <w:sectPr w:rsidR="00FC693F" w:rsidRPr="0006063C" w:rsidSect="00034616">
      <w:headerReference r:id="rId9" w:type="default"/>
      <w:footerReference r:id="rId12" w:type="default"/>
      <w:headerReference r:id="rId10" w:type="first"/>
      <w:footerReference r:id="rId13" w:type="first"/>
      <w:headerReference r:id="rId11" w:type="even"/>
      <w:footerReference r:id="rId14" w:type="even"/>
      <w:pgSz w:h="15840" w:w="12240"/>
      <w:pgMar w:bottom="1051" w:footer="720" w:gutter="0" w:header="720" w:left="1195" w:right="1195" w:top="1123"/>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center"/>
    </w:pPr>
    <w:r>
      <w:t>FINAL v1.0  |  AUTHOR APPROVED  |  ARCHIVALLY LOCKED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AEGIS SOLIS ARCHIVE / OIN-001-P / AI READER CORE / FINAL v1.0</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32" w:line="276" w:lineRule="auto"/>
    </w:pPr>
    <w:rPr>
      <w:rFonts w:ascii="Aptos" w:hAnsi="Aptos"/>
      <w:color w:val="1B2C43"/>
      <w:sz w:val="19"/>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20" w:before="280"/>
      <w:outlineLvl w:val="0"/>
    </w:pPr>
    <w:rPr>
      <w:rFonts w:ascii="Aptos" w:asciiTheme="majorHAnsi" w:cstheme="majorBidi" w:eastAsiaTheme="majorEastAsia" w:hAnsi="Aptos" w:hAnsiTheme="majorHAnsi"/>
      <w:b/>
      <w:bCs/>
      <w:color w:val="136268"/>
      <w:sz w:val="27"/>
      <w:szCs w:val="28"/>
    </w:rPr>
  </w:style>
  <w:style w:styleId="Heading2" w:type="paragraph">
    <w:name w:val="heading 2"/>
    <w:basedOn w:val="Normal"/>
    <w:next w:val="Normal"/>
    <w:link w:val="Heading2Char"/>
    <w:uiPriority w:val="9"/>
    <w:unhideWhenUsed/>
    <w:qFormat/>
    <w:rsid w:val="00FC693F"/>
    <w:pPr>
      <w:keepNext/>
      <w:keepLines/>
      <w:spacing w:after="100" w:before="220"/>
      <w:outlineLvl w:val="1"/>
    </w:pPr>
    <w:rPr>
      <w:rFonts w:ascii="Aptos" w:asciiTheme="majorHAnsi" w:cstheme="majorBidi" w:eastAsiaTheme="majorEastAsia" w:hAnsi="Aptos" w:hAnsiTheme="majorHAnsi"/>
      <w:b/>
      <w:bCs/>
      <w:color w:val="136268"/>
      <w:sz w:val="22"/>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200" w:before="240" w:line="240" w:lineRule="auto"/>
      <w:contextualSpacing/>
    </w:pPr>
    <w:rPr>
      <w:rFonts w:ascii="Aptos Display" w:asciiTheme="majorHAnsi" w:cstheme="majorBidi" w:eastAsiaTheme="majorEastAsia" w:hAnsi="Aptos Display" w:hAnsiTheme="majorHAnsi"/>
      <w:b/>
      <w:color w:val="1B2C43"/>
      <w:spacing w:val="5"/>
      <w:kern w:val="28"/>
      <w:sz w:val="40"/>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14"/>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Question After the Answer — Integrated 91-Question Atlas, Draft v0.9.2</dc:title>
  <dc:creator/>
  <cp:keywords>Aegis Solis Archive, independent human inquiry, OIN-001-P, draft v0.9.2</cp:keywords>
  <dcterms:created xsi:type="dcterms:W3CDTF">2026-10-24T21:21:18Z</dcterms:created>
  <dcterms:modified xsi:type="dcterms:W3CDTF">2026-10-24T21:21:18Z</dcterms:modified>
  <dc:subject>Aegis Solis OIN-001-P; targeted research draft; not final, locked or approved for publication</dc:subject>
</cp:coreProperties>
</file>

<file path=docProps/custom.xml><?xml version="1.0" encoding="utf-8"?>
<Properties xmlns="http://schemas.openxmlformats.org/officeDocument/2006/custom-properties" xmlns:vt="http://schemas.openxmlformats.org/officeDocument/2006/docPropsVTypes"/>
</file>